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63B34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5787">
              <w:rPr>
                <w:lang w:val="sr-Cyrl-RS"/>
              </w:rPr>
              <w:t>5</w:t>
            </w:r>
            <w:r w:rsidR="00E63B34">
              <w:rPr>
                <w:lang w:val="sr-Cyrl-RS"/>
              </w:rPr>
              <w:t>9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E63B34" w:rsidP="007E0C98">
            <w:pPr>
              <w:jc w:val="center"/>
              <w:rPr>
                <w:lang w:val="sr-Cyrl-RS"/>
              </w:rPr>
            </w:pPr>
            <w:r w:rsidRPr="0046219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Снага. Коефицијент корисног дејства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F57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4301A" w:rsidRPr="0066602A" w:rsidRDefault="005E7E29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д</w:t>
            </w:r>
            <w:r w:rsidR="00E11ED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а уч</w:t>
            </w:r>
            <w:r w:rsidR="0016236C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еници разумеју </w:t>
            </w:r>
            <w:r w:rsidR="000B4A6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шта је то </w:t>
            </w:r>
            <w:r w:rsidR="00042B1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снага</w:t>
            </w:r>
            <w:r w:rsidR="0066602A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,</w:t>
            </w:r>
          </w:p>
          <w:p w:rsidR="0066602A" w:rsidRPr="0016236C" w:rsidRDefault="0066602A" w:rsidP="0016236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да се ученици упознају са </w:t>
            </w:r>
            <w:r w:rsidR="00042B19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коефицијентом корисног дејства,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E14175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дефинишу </w:t>
            </w:r>
            <w:r w:rsidR="00042B1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снагу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0B4A67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знају </w:t>
            </w:r>
            <w:r w:rsidR="00042B1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коефицијент корисног дејства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0B4A67" w:rsidRPr="005B30C9" w:rsidRDefault="000B4A67" w:rsidP="00345D34">
            <w:pPr>
              <w:pStyle w:val="osnovni-txt"/>
              <w:spacing w:before="0" w:beforeAutospacing="0" w:after="54" w:afterAutospacing="0"/>
              <w:ind w:left="72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234ACD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234ACD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042B19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Школска торба напуњена књигама, метарска трака, штоперица, свеска, оловка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E4B1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( 5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A8189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042B19">
              <w:rPr>
                <w:lang w:val="sr-Cyrl-RS"/>
              </w:rPr>
              <w:t xml:space="preserve"> 108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DE4B16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426FC4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042B19" w:rsidRDefault="00F22492" w:rsidP="00042B1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Анализирајући са ученицима запажања која су изнели изводећи демонстрациони оглед наставник </w:t>
            </w:r>
            <w:r w:rsidR="0066602A">
              <w:rPr>
                <w:lang w:val="sr-Cyrl-RS"/>
              </w:rPr>
              <w:t xml:space="preserve">дефинише </w:t>
            </w:r>
            <w:r w:rsidR="00042B19">
              <w:rPr>
                <w:lang w:val="sr-Cyrl-RS"/>
              </w:rPr>
              <w:t xml:space="preserve">снагу и ват </w:t>
            </w:r>
            <w:r w:rsidR="0066602A">
              <w:rPr>
                <w:lang w:val="sr-Cyrl-RS"/>
              </w:rPr>
              <w:t>ка</w:t>
            </w:r>
            <w:r w:rsidR="00042B19">
              <w:rPr>
                <w:lang w:val="sr-Cyrl-RS"/>
              </w:rPr>
              <w:t>о</w:t>
            </w:r>
            <w:r w:rsidR="0066602A">
              <w:rPr>
                <w:lang w:val="sr-Cyrl-RS"/>
              </w:rPr>
              <w:t xml:space="preserve"> мерну јединицу за </w:t>
            </w:r>
            <w:r w:rsidR="00042B19">
              <w:rPr>
                <w:lang w:val="sr-Cyrl-RS"/>
              </w:rPr>
              <w:t>снагу н примеру из демонстрационог огледа.</w:t>
            </w:r>
          </w:p>
          <w:p w:rsidR="00042B19" w:rsidRDefault="00042B19" w:rsidP="00042B1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F400E0">
              <w:rPr>
                <w:rFonts w:ascii="Times New Roman" w:hAnsi="Times New Roman" w:cs="Times New Roman"/>
                <w:lang w:val="sr-Cyrl-RS"/>
              </w:rPr>
              <w:t xml:space="preserve">У демонстрационом огледу већу снагу је имао </w:t>
            </w:r>
            <w:r>
              <w:rPr>
                <w:rFonts w:ascii="Times New Roman" w:hAnsi="Times New Roman" w:cs="Times New Roman"/>
                <w:lang w:val="sr-Cyrl-RS"/>
              </w:rPr>
              <w:t xml:space="preserve">је демонстратор који је за краће време подигао школски ранац на висину клупе. </w:t>
            </w:r>
          </w:p>
          <w:p w:rsidR="00042B19" w:rsidRPr="00341738" w:rsidRDefault="00042B19" w:rsidP="00042B19">
            <w:pPr>
              <w:pBdr>
                <w:bottom w:val="single" w:sz="4" w:space="1" w:color="auto"/>
              </w:pBd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val="sr-Cyrl-RS"/>
              </w:rPr>
            </w:pPr>
            <w:r w:rsidRPr="00341738">
              <w:rPr>
                <w:rFonts w:ascii="Times New Roman" w:hAnsi="Times New Roman" w:cs="Times New Roman"/>
                <w:i/>
                <w:lang w:val="sr-Cyrl-RS"/>
              </w:rPr>
              <w:t>P =</w:t>
            </w:r>
            <w:r w:rsidRPr="00341738">
              <w:rPr>
                <w:rFonts w:ascii="Times New Roman" w:hAnsi="Times New Roman" w:cs="Times New Roman"/>
                <w:lang w:val="sr-Cyrl-R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  <w:lang w:val="sr-Cyrl-R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  <w:lang w:val="sr-Cyrl-RS"/>
                    </w:rPr>
                    <m:t>t</m:t>
                  </m:r>
                </m:den>
              </m:f>
            </m:oMath>
          </w:p>
          <w:p w:rsidR="00042B19" w:rsidRDefault="00042B19" w:rsidP="00042B1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Мерна јединица за снагу је </w:t>
            </w:r>
            <w:r w:rsidRPr="00DE71AD">
              <w:rPr>
                <w:b/>
                <w:lang w:val="sr-Cyrl-RS"/>
              </w:rPr>
              <w:t>ват (</w:t>
            </w:r>
            <w:r w:rsidRPr="00DE71AD">
              <w:rPr>
                <w:rFonts w:ascii="Times New Roman" w:hAnsi="Times New Roman" w:cs="Times New Roman"/>
                <w:b/>
                <w:lang w:val="sr-Cyrl-RS"/>
              </w:rPr>
              <w:t>W</w:t>
            </w:r>
            <w:r w:rsidRPr="00DE71AD">
              <w:rPr>
                <w:b/>
                <w:lang w:val="sr-Cyrl-RS"/>
              </w:rPr>
              <w:t>)</w:t>
            </w:r>
            <w:r>
              <w:rPr>
                <w:b/>
                <w:lang w:val="sr-Cyrl-RS"/>
              </w:rPr>
              <w:t xml:space="preserve">. </w:t>
            </w:r>
          </w:p>
          <w:p w:rsidR="00042B19" w:rsidRDefault="00042B19" w:rsidP="00042B19">
            <w:pPr>
              <w:pBdr>
                <w:bottom w:val="single" w:sz="4" w:space="1" w:color="auto"/>
              </w:pBd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sr-Cyrl-RS"/>
              </w:rPr>
            </w:pPr>
            <w:r w:rsidRPr="009D31C8">
              <w:rPr>
                <w:rFonts w:ascii="Times New Roman" w:hAnsi="Times New Roman" w:cs="Times New Roman"/>
                <w:lang w:val="sr-Cyrl-RS"/>
              </w:rPr>
              <w:t xml:space="preserve">1 W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sr-Cyrl-R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sr-Cyrl-RS"/>
                    </w:rPr>
                    <m:t>1 Ј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sr-Cyrl-RS"/>
                    </w:rPr>
                    <m:t>1 s</m:t>
                  </m:r>
                </m:den>
              </m:f>
            </m:oMath>
          </w:p>
          <w:p w:rsidR="00042B19" w:rsidRDefault="00042B19" w:rsidP="00042B19">
            <w:pPr>
              <w:pBdr>
                <w:bottom w:val="single" w:sz="4" w:space="1" w:color="auto"/>
              </w:pBd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</w:pPr>
            <w:r w:rsidRPr="00AA4B73"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  <w:t xml:space="preserve">Ако се механички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  <w:t>рад изрази као производ интезитета силе и пређеног пута :</w:t>
            </w:r>
          </w:p>
          <w:p w:rsidR="00042B19" w:rsidRDefault="00042B19" w:rsidP="00042B1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D2EB0">
              <w:rPr>
                <w:b/>
                <w:i/>
                <w:lang w:val="sr-Cyrl-RS"/>
              </w:rPr>
              <w:t xml:space="preserve">А </w:t>
            </w:r>
            <w:r w:rsidRPr="007D2EB0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= F ∙ s </w:t>
            </w:r>
          </w:p>
          <w:p w:rsidR="00042B19" w:rsidRDefault="00042B19" w:rsidP="00042B1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/>
              </w:rPr>
              <w:t>Снага добија следећи облик:</w:t>
            </w:r>
          </w:p>
          <w:p w:rsidR="00042B19" w:rsidRPr="00341738" w:rsidRDefault="00042B19" w:rsidP="00042B19">
            <w:pPr>
              <w:pBdr>
                <w:bottom w:val="single" w:sz="4" w:space="1" w:color="auto"/>
              </w:pBdr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sr-Cyrl-RS"/>
              </w:rPr>
            </w:pPr>
            <w:r w:rsidRPr="00341738">
              <w:rPr>
                <w:rFonts w:ascii="Times New Roman" w:hAnsi="Times New Roman" w:cs="Times New Roman"/>
                <w:i/>
                <w:lang w:val="sr-Cyrl-RS"/>
              </w:rPr>
              <w:t xml:space="preserve">P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sr-Cyrl-RS"/>
                    </w:rPr>
                    <m:t xml:space="preserve">F ∙ s 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sr-Latn-RS"/>
                    </w:rPr>
                    <m:t>t</m:t>
                  </m:r>
                </m:den>
              </m:f>
            </m:oMath>
            <w:r w:rsidRPr="00341738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sr-Cyrl-RS"/>
              </w:rPr>
              <w:t xml:space="preserve"> = F · v</w:t>
            </w:r>
            <w:r w:rsidRPr="00341738">
              <w:rPr>
                <w:rFonts w:ascii="Times New Roman" w:eastAsiaTheme="minorEastAsia" w:hAnsi="Times New Roman" w:cs="Times New Roman"/>
                <w:i/>
                <w:sz w:val="28"/>
                <w:szCs w:val="28"/>
                <w:vertAlign w:val="subscript"/>
                <w:lang w:val="sr-Cyrl-RS"/>
              </w:rPr>
              <w:t>s</w:t>
            </w:r>
          </w:p>
          <w:p w:rsidR="00042B19" w:rsidRPr="00042B19" w:rsidRDefault="00042B19" w:rsidP="00042B19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042B19" w:rsidRDefault="0066602A" w:rsidP="00042B1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42B19">
              <w:rPr>
                <w:rFonts w:ascii="Times New Roman" w:hAnsi="Times New Roman" w:cs="Times New Roman"/>
                <w:lang w:val="sr-Cyrl-RS"/>
              </w:rPr>
              <w:t>На примеру мотора са унутрашњим сагоревањем наставник кроз разговор са ученицима дефинише коефицијент корисног дејства.</w:t>
            </w:r>
          </w:p>
          <w:p w:rsidR="00042B19" w:rsidRPr="00042B19" w:rsidRDefault="00042B19" w:rsidP="00042B19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lang w:val="sr-Cyrl-RS"/>
              </w:rPr>
              <w:t>Којефицијент корисног дејства:</w:t>
            </w:r>
          </w:p>
          <w:p w:rsidR="00042B19" w:rsidRPr="00341738" w:rsidRDefault="00341738" w:rsidP="00042B19">
            <w:pPr>
              <w:pBdr>
                <w:bottom w:val="single" w:sz="4" w:space="1" w:color="auto"/>
              </w:pBdr>
              <w:jc w:val="center"/>
              <w:rPr>
                <w:rFonts w:eastAsiaTheme="minorEastAsia"/>
                <w:lang w:val="sr-Cyrl-RS"/>
              </w:rPr>
            </w:pPr>
            <m:oMath>
              <m:r>
                <w:rPr>
                  <w:rFonts w:ascii="Cambria Math" w:hAnsi="Cambria Math" w:cs="Times New Roman"/>
                  <w:lang w:val="sr-Cyrl-RS"/>
                </w:rPr>
                <m:t>η</m:t>
              </m:r>
              <m:r>
                <w:rPr>
                  <w:rFonts w:ascii="Cambria Math" w:hAnsi="Cambria Math"/>
                  <w:lang w:val="sr-Cyrl-RS"/>
                </w:rPr>
                <m:t xml:space="preserve"> = </m:t>
              </m:r>
              <m:f>
                <m:fPr>
                  <m:ctrlPr>
                    <w:rPr>
                      <w:rFonts w:ascii="Cambria Math" w:hAnsi="Cambria Math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sr-Cyrl-RS"/>
                    </w:rPr>
                    <m:t>Aₖ</m:t>
                  </m:r>
                  <m:r>
                    <w:rPr>
                      <w:rFonts w:ascii="Cambria Math" w:hAnsi="Cambria Math"/>
                      <w:lang w:val="sr-Cyrl-RS"/>
                    </w:rPr>
                    <m:t xml:space="preserve"> </m:t>
                  </m:r>
                </m:num>
                <m:den>
                  <m:r>
                    <w:rPr>
                      <w:rFonts w:ascii="Cambria Math" w:hAnsi="Cambria Math" w:cs="Times New Roman"/>
                      <w:lang w:val="sr-Cyrl-RS"/>
                    </w:rPr>
                    <m:t>Aᵤ</m:t>
                  </m:r>
                </m:den>
              </m:f>
              <m:r>
                <w:rPr>
                  <w:rFonts w:ascii="Cambria Math" w:hAnsi="Cambria Math"/>
                  <w:lang w:val="sr-Cyrl-RS"/>
                </w:rPr>
                <m:t xml:space="preserve"> </m:t>
              </m:r>
            </m:oMath>
            <w:r w:rsidR="00042B19" w:rsidRPr="00341738">
              <w:rPr>
                <w:rFonts w:eastAsiaTheme="minorEastAsia"/>
                <w:lang w:val="sr-Cyrl-RS"/>
              </w:rPr>
              <w:t>=</w:t>
            </w:r>
            <m:oMath>
              <m:r>
                <w:rPr>
                  <w:rFonts w:ascii="Cambria Math" w:eastAsiaTheme="minorEastAsia" w:hAnsi="Cambria Math"/>
                  <w:lang w:val="sr-Cyrl-RS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sr-Cyrl-R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Pₖ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lang w:val="sr-Cyrl-RS"/>
                    </w:rPr>
                    <m:t>Pᵤ</m:t>
                  </m:r>
                </m:den>
              </m:f>
            </m:oMath>
          </w:p>
          <w:p w:rsidR="00042B19" w:rsidRPr="0081279D" w:rsidRDefault="00042B19" w:rsidP="0081279D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 w:rsidRPr="0081279D">
              <w:rPr>
                <w:rFonts w:eastAsiaTheme="minorEastAsia"/>
                <w:lang w:val="sr-Cyrl-RS"/>
              </w:rPr>
              <w:t>Нап</w:t>
            </w:r>
            <w:r w:rsidR="0081279D" w:rsidRPr="0081279D">
              <w:rPr>
                <w:rFonts w:eastAsiaTheme="minorEastAsia"/>
                <w:lang w:val="sr-Cyrl-RS"/>
              </w:rPr>
              <w:t>оменути да</w:t>
            </w:r>
            <w:r w:rsidRPr="0081279D">
              <w:rPr>
                <w:rFonts w:eastAsiaTheme="minorEastAsia"/>
                <w:lang w:val="sr-Cyrl-RS"/>
              </w:rPr>
              <w:t xml:space="preserve"> коефицијент кори</w:t>
            </w:r>
            <w:r w:rsidR="0081279D" w:rsidRPr="0081279D">
              <w:rPr>
                <w:rFonts w:eastAsiaTheme="minorEastAsia"/>
                <w:lang w:val="sr-Cyrl-RS"/>
              </w:rPr>
              <w:t>сног дејства може имати вредности од 0 до 1 и да се изражава у процентима.</w:t>
            </w: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DE4B16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Завршни део часа ( 10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81279D" w:rsidP="0081279D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примерима из свакодневног живота, наставник проверава усвојеност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042B19"/>
    <w:rsid w:val="000B4A67"/>
    <w:rsid w:val="00106FDE"/>
    <w:rsid w:val="0016236C"/>
    <w:rsid w:val="00196F0B"/>
    <w:rsid w:val="00206CC4"/>
    <w:rsid w:val="00224942"/>
    <w:rsid w:val="002256EA"/>
    <w:rsid w:val="00234ACD"/>
    <w:rsid w:val="00246989"/>
    <w:rsid w:val="00284BD2"/>
    <w:rsid w:val="002D7ADC"/>
    <w:rsid w:val="00331335"/>
    <w:rsid w:val="00341738"/>
    <w:rsid w:val="00345D34"/>
    <w:rsid w:val="00426FC4"/>
    <w:rsid w:val="004B4B7E"/>
    <w:rsid w:val="00521BFC"/>
    <w:rsid w:val="00591358"/>
    <w:rsid w:val="005B30C9"/>
    <w:rsid w:val="005B35D3"/>
    <w:rsid w:val="005E7E29"/>
    <w:rsid w:val="00654812"/>
    <w:rsid w:val="0066602A"/>
    <w:rsid w:val="006D16AC"/>
    <w:rsid w:val="007804CD"/>
    <w:rsid w:val="007B6B2E"/>
    <w:rsid w:val="007E0C98"/>
    <w:rsid w:val="0081279D"/>
    <w:rsid w:val="008213B1"/>
    <w:rsid w:val="0083509C"/>
    <w:rsid w:val="00836B40"/>
    <w:rsid w:val="00883E2B"/>
    <w:rsid w:val="008F5787"/>
    <w:rsid w:val="00932AC9"/>
    <w:rsid w:val="00956FF8"/>
    <w:rsid w:val="009E07F4"/>
    <w:rsid w:val="00A81897"/>
    <w:rsid w:val="00B0766A"/>
    <w:rsid w:val="00B24AAF"/>
    <w:rsid w:val="00B43256"/>
    <w:rsid w:val="00B816AA"/>
    <w:rsid w:val="00BB27D3"/>
    <w:rsid w:val="00C7291F"/>
    <w:rsid w:val="00D349B0"/>
    <w:rsid w:val="00D37F65"/>
    <w:rsid w:val="00D4301A"/>
    <w:rsid w:val="00D74272"/>
    <w:rsid w:val="00D77B1E"/>
    <w:rsid w:val="00DA2FB4"/>
    <w:rsid w:val="00DE4B16"/>
    <w:rsid w:val="00E113E7"/>
    <w:rsid w:val="00E11EDC"/>
    <w:rsid w:val="00E14175"/>
    <w:rsid w:val="00E35BC7"/>
    <w:rsid w:val="00E4769C"/>
    <w:rsid w:val="00E63B34"/>
    <w:rsid w:val="00E92BFA"/>
    <w:rsid w:val="00E93A3D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29EF1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7</cp:revision>
  <dcterms:created xsi:type="dcterms:W3CDTF">2025-06-08T09:03:00Z</dcterms:created>
  <dcterms:modified xsi:type="dcterms:W3CDTF">2025-06-11T16:56:00Z</dcterms:modified>
</cp:coreProperties>
</file>