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3C405B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8F5787">
              <w:rPr>
                <w:lang w:val="sr-Cyrl-RS"/>
              </w:rPr>
              <w:t>5</w:t>
            </w:r>
            <w:r w:rsidR="003C405B">
              <w:rPr>
                <w:lang w:val="sr-Cyrl-RS"/>
              </w:rPr>
              <w:t>5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0B4A67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Механички рад и енергија. Снага.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Default="005F20E0" w:rsidP="007E0C98">
            <w:pPr>
              <w:jc w:val="center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Потенцијална енергија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8F5787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D90C2D" w:rsidRPr="00851203" w:rsidRDefault="00D90C2D" w:rsidP="00851203">
            <w:pPr>
              <w:pStyle w:val="ListParagraph"/>
              <w:numPr>
                <w:ilvl w:val="0"/>
                <w:numId w:val="14"/>
              </w:numPr>
              <w:rPr>
                <w:sz w:val="23"/>
                <w:szCs w:val="23"/>
                <w:lang w:val="sr-Cyrl-RS"/>
              </w:rPr>
            </w:pPr>
            <w:r w:rsidRPr="00851203">
              <w:rPr>
                <w:sz w:val="20"/>
                <w:szCs w:val="20"/>
                <w:lang w:val="sr-Cyrl-RS"/>
              </w:rPr>
              <w:t xml:space="preserve">да се ученици упознају </w:t>
            </w:r>
            <w:r w:rsidR="005F20E0" w:rsidRPr="00851203">
              <w:rPr>
                <w:sz w:val="20"/>
                <w:szCs w:val="20"/>
                <w:lang w:val="sr-Cyrl-RS"/>
              </w:rPr>
              <w:t>са везом потенцијалне енергије и механичког рада</w:t>
            </w:r>
            <w:r w:rsidRPr="00851203">
              <w:rPr>
                <w:sz w:val="23"/>
                <w:szCs w:val="23"/>
                <w:lang w:val="sr-Cyrl-RS"/>
              </w:rPr>
              <w:t>,</w:t>
            </w:r>
          </w:p>
          <w:p w:rsidR="00836B40" w:rsidRDefault="00836B40" w:rsidP="005F20E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</w:t>
            </w:r>
            <w:r w:rsidR="0066602A">
              <w:rPr>
                <w:rFonts w:cstheme="minorHAnsi"/>
                <w:sz w:val="20"/>
                <w:szCs w:val="20"/>
                <w:lang w:val="sr-Cyrl-RS"/>
              </w:rPr>
              <w:t>ње и проучавање физичких појава,</w:t>
            </w:r>
          </w:p>
          <w:p w:rsidR="00836B40" w:rsidRDefault="00836B40" w:rsidP="005F20E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66602A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5F20E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5739FB" w:rsidRDefault="000B4A67" w:rsidP="00296C79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</w:t>
            </w:r>
            <w:r w:rsidR="005739FB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разуме </w:t>
            </w:r>
            <w:r w:rsidR="00B918F5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механичку енергију као способност тела да врши механички рад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D90C2D" w:rsidRPr="00296C79" w:rsidRDefault="00D90C2D" w:rsidP="00296C79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разуме кинетичку енергију,</w:t>
            </w:r>
          </w:p>
          <w:p w:rsidR="000B4A67" w:rsidRDefault="000B4A67" w:rsidP="005B30C9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да знају мерну јединицу за механичк</w:t>
            </w:r>
            <w:r w:rsidR="00296C79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у енергију</w:t>
            </w:r>
            <w:r w:rsidR="00D90C2D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.</w:t>
            </w:r>
          </w:p>
          <w:p w:rsidR="000B4A67" w:rsidRPr="005B30C9" w:rsidRDefault="000B4A67" w:rsidP="00296C79">
            <w:pPr>
              <w:pStyle w:val="osnovni-txt"/>
              <w:spacing w:before="0" w:beforeAutospacing="0" w:after="54" w:afterAutospacing="0"/>
              <w:ind w:left="72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041DC6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 w:rsidR="00041DC6">
              <w:rPr>
                <w:rFonts w:cstheme="minorHAnsi"/>
                <w:sz w:val="20"/>
                <w:szCs w:val="20"/>
                <w:lang w:val="sr-Cyrl-RS"/>
              </w:rPr>
              <w:t>рад у групи</w:t>
            </w:r>
            <w:bookmarkStart w:id="0" w:name="_GoBack"/>
            <w:bookmarkEnd w:id="0"/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8F5787" w:rsidRDefault="00EE31D8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Два једнака стаклена кликера,</w:t>
            </w:r>
            <w:r w:rsidR="00B918F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Галилејев жлеб, гвоздена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куглица, две стаклене куглице </w:t>
            </w:r>
            <w:r w:rsidR="00B918F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куглица бр. 1 и куглица бтр. 2), дигитална вага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911F2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</w:t>
            </w:r>
            <w:r w:rsidR="00D349B0"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9356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</w:t>
            </w:r>
            <w:r w:rsidR="00296C79">
              <w:rPr>
                <w:lang w:val="sr-Cyrl-RS"/>
              </w:rPr>
              <w:t xml:space="preserve"> до пет</w:t>
            </w:r>
            <w:r w:rsidR="00836B40">
              <w:rPr>
                <w:lang w:val="sr-Cyrl-RS"/>
              </w:rPr>
              <w:t xml:space="preserve">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5F25DC">
              <w:rPr>
                <w:lang w:val="sr-Cyrl-RS"/>
              </w:rPr>
              <w:t xml:space="preserve"> 99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оглед, током</w:t>
            </w:r>
            <w:r w:rsidR="00A81897">
              <w:rPr>
                <w:lang w:val="sr-Cyrl-RS"/>
              </w:rPr>
              <w:t xml:space="preserve"> реализације 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</w:t>
            </w:r>
            <w:r w:rsidR="00911F2A">
              <w:rPr>
                <w:lang w:val="sr-Cyrl-RS"/>
              </w:rPr>
              <w:t xml:space="preserve"> 30</w:t>
            </w:r>
            <w:r>
              <w:rPr>
                <w:lang w:val="sr-Cyrl-RS"/>
              </w:rPr>
              <w:t xml:space="preserve">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851203">
              <w:rPr>
                <w:lang w:val="sr-Cyrl-RS"/>
              </w:rPr>
              <w:t>д</w:t>
            </w:r>
            <w:r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66602A" w:rsidRDefault="00F22492" w:rsidP="0066602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Анализирајући са ученицима запажања која су изнели изводећи демонстрациони оглед наставник </w:t>
            </w:r>
            <w:r w:rsidR="009E5680">
              <w:rPr>
                <w:lang w:val="sr-Cyrl-RS"/>
              </w:rPr>
              <w:t>објашњава</w:t>
            </w:r>
            <w:r w:rsidR="005F25DC">
              <w:rPr>
                <w:lang w:val="sr-Cyrl-RS"/>
              </w:rPr>
              <w:t xml:space="preserve"> гравитациону</w:t>
            </w:r>
            <w:r w:rsidR="0066602A">
              <w:rPr>
                <w:lang w:val="sr-Cyrl-RS"/>
              </w:rPr>
              <w:t xml:space="preserve"> </w:t>
            </w:r>
            <w:r w:rsidR="005F25DC">
              <w:rPr>
                <w:lang w:val="sr-Cyrl-RS"/>
              </w:rPr>
              <w:t>потенцијалну енергију.</w:t>
            </w:r>
          </w:p>
          <w:p w:rsidR="00911F2A" w:rsidRDefault="005F25DC" w:rsidP="00531961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 примеру кретања куглице низ стрму раван наставник објашњава рад конзервативних сила, наглашава да је рад који изврше конзервативне силе на физичким телом једнак промени потенцијалних енергија у почетном и крајњем положају.</w:t>
            </w:r>
          </w:p>
          <w:p w:rsidR="00911F2A" w:rsidRDefault="00911F2A" w:rsidP="00531961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 примеру падања куглица са висине школске клупе у песак наставник дефинише гравитациону потенцијалну енергију као:</w:t>
            </w:r>
          </w:p>
          <w:p w:rsidR="00531961" w:rsidRDefault="00041DC6" w:rsidP="00911F2A">
            <w:pPr>
              <w:pBdr>
                <w:bottom w:val="single" w:sz="4" w:space="1" w:color="auto"/>
              </w:pBdr>
              <w:jc w:val="center"/>
              <w:rPr>
                <w:rFonts w:eastAsiaTheme="minorEastAsia"/>
                <w:lang w:val="sr-Cyrl-RS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lang w:val="sr-Cyrl-RS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lang w:val="sr-Cyrl-RS"/>
                    </w:rPr>
                    <m:t>E</m:t>
                  </m:r>
                  <m:r>
                    <w:rPr>
                      <w:rFonts w:ascii="Cambria Math" w:hAnsi="Cambria Math"/>
                      <w:lang w:val="sr-Cyrl-RS"/>
                    </w:rPr>
                    <m:t xml:space="preserve"> </m:t>
                  </m:r>
                </m:e>
                <m:sub>
                  <m:r>
                    <w:rPr>
                      <w:rFonts w:ascii="Cambria Math" w:hAnsi="Cambria Math" w:cstheme="minorHAnsi"/>
                      <w:lang w:val="sr-Cyrl-RS"/>
                    </w:rPr>
                    <m:t>p</m:t>
                  </m:r>
                </m:sub>
              </m:sSub>
            </m:oMath>
            <w:r w:rsidR="00911F2A">
              <w:rPr>
                <w:rFonts w:eastAsiaTheme="minorEastAsia"/>
                <w:lang w:val="sr-Cyrl-RS"/>
              </w:rPr>
              <w:t xml:space="preserve"> </w:t>
            </w:r>
            <w:r w:rsidR="00911F2A">
              <w:rPr>
                <w:rFonts w:eastAsiaTheme="minorEastAsia" w:cstheme="minorHAnsi"/>
                <w:lang w:val="sr-Cyrl-RS"/>
              </w:rPr>
              <w:t>=</w:t>
            </w:r>
            <w:r w:rsidR="00911F2A">
              <w:rPr>
                <w:rFonts w:eastAsiaTheme="minorEastAsia"/>
                <w:lang w:val="sr-Cyrl-RS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  <w:lang w:val="sr-Cyrl-RS"/>
                </w:rPr>
                <m:t>m</m:t>
              </m:r>
              <m:r>
                <w:rPr>
                  <w:rFonts w:ascii="Cambria Math" w:eastAsiaTheme="minorEastAsia" w:hAnsi="Cambria Math" w:cs="Calibri"/>
                  <w:lang w:val="sr-Cyrl-RS"/>
                </w:rPr>
                <m:t>·</m:t>
              </m:r>
              <m:r>
                <w:rPr>
                  <w:rFonts w:ascii="Cambria Math" w:eastAsiaTheme="minorEastAsia" w:hAnsi="Cambria Math" w:cstheme="minorHAnsi"/>
                  <w:lang w:val="sr-Cyrl-RS"/>
                </w:rPr>
                <m:t>g</m:t>
              </m:r>
              <m:r>
                <w:rPr>
                  <w:rFonts w:ascii="Cambria Math" w:eastAsiaTheme="minorEastAsia" w:hAnsi="Cambria Math" w:cs="Calibri"/>
                  <w:lang w:val="sr-Cyrl-RS"/>
                </w:rPr>
                <m:t>·</m:t>
              </m:r>
              <m:r>
                <w:rPr>
                  <w:rFonts w:ascii="Cambria Math" w:eastAsiaTheme="minorEastAsia" w:hAnsi="Cambria Math" w:cstheme="minorHAnsi"/>
                  <w:lang w:val="sr-Cyrl-RS"/>
                </w:rPr>
                <m:t>h</m:t>
              </m:r>
            </m:oMath>
          </w:p>
          <w:p w:rsidR="009E5680" w:rsidRDefault="00911F2A" w:rsidP="00911F2A">
            <w:pPr>
              <w:pBdr>
                <w:bottom w:val="single" w:sz="4" w:space="1" w:color="auto"/>
              </w:pBdr>
              <w:jc w:val="both"/>
              <w:rPr>
                <w:rFonts w:eastAsiaTheme="minorEastAsia"/>
                <w:lang w:val="sr-Cyrl-RS"/>
              </w:rPr>
            </w:pPr>
            <w:r>
              <w:rPr>
                <w:rFonts w:eastAsiaTheme="minorEastAsia"/>
                <w:lang w:val="sr-Cyrl-RS"/>
              </w:rPr>
              <w:t>Нагласити да се гравитациона потенцијална енергија не везује само за површину Земље већ за било коју другу раван у односу на коју посматрамо.</w:t>
            </w:r>
          </w:p>
          <w:p w:rsidR="00911F2A" w:rsidRPr="0066602A" w:rsidRDefault="00911F2A" w:rsidP="00911F2A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297E8E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</w:t>
            </w:r>
            <w:r w:rsidR="00DE4B16">
              <w:rPr>
                <w:lang w:val="sr-Cyrl-RS"/>
              </w:rPr>
              <w:t xml:space="preserve"> </w:t>
            </w:r>
            <w:r w:rsidR="00F431A1">
              <w:rPr>
                <w:lang w:val="sr-Cyrl-RS"/>
              </w:rPr>
              <w:t>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911F2A" w:rsidP="00911F2A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На примеру стреличарства наставник објашњава еластичну потенциојалну енергију и проверава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ubheading Semibold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67023"/>
    <w:multiLevelType w:val="hybridMultilevel"/>
    <w:tmpl w:val="6A70C304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21210"/>
    <w:multiLevelType w:val="hybridMultilevel"/>
    <w:tmpl w:val="6ADCF81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25395"/>
    <w:multiLevelType w:val="hybridMultilevel"/>
    <w:tmpl w:val="AA36435C"/>
    <w:lvl w:ilvl="0" w:tplc="903A6A3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558D"/>
    <w:multiLevelType w:val="hybridMultilevel"/>
    <w:tmpl w:val="4EB2997E"/>
    <w:lvl w:ilvl="0" w:tplc="1C9A7F32">
      <w:start w:val="1"/>
      <w:numFmt w:val="bullet"/>
      <w:lvlText w:val="-"/>
      <w:lvlJc w:val="left"/>
      <w:pPr>
        <w:ind w:left="720" w:hanging="360"/>
      </w:pPr>
      <w:rPr>
        <w:rFonts w:ascii="Sitka Subheading Semibold" w:hAnsi="Sitka Subheading Semi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2"/>
  </w:num>
  <w:num w:numId="5">
    <w:abstractNumId w:val="7"/>
  </w:num>
  <w:num w:numId="6">
    <w:abstractNumId w:val="0"/>
  </w:num>
  <w:num w:numId="7">
    <w:abstractNumId w:val="2"/>
  </w:num>
  <w:num w:numId="8">
    <w:abstractNumId w:val="9"/>
  </w:num>
  <w:num w:numId="9">
    <w:abstractNumId w:val="4"/>
  </w:num>
  <w:num w:numId="10">
    <w:abstractNumId w:val="3"/>
  </w:num>
  <w:num w:numId="11">
    <w:abstractNumId w:val="1"/>
  </w:num>
  <w:num w:numId="12">
    <w:abstractNumId w:val="6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33090"/>
    <w:rsid w:val="00041DC6"/>
    <w:rsid w:val="000B4A67"/>
    <w:rsid w:val="00106FDE"/>
    <w:rsid w:val="0016236C"/>
    <w:rsid w:val="00196F0B"/>
    <w:rsid w:val="00206CC4"/>
    <w:rsid w:val="00224942"/>
    <w:rsid w:val="002256EA"/>
    <w:rsid w:val="00246989"/>
    <w:rsid w:val="00284BD2"/>
    <w:rsid w:val="00296C79"/>
    <w:rsid w:val="00297E8E"/>
    <w:rsid w:val="002D7ADC"/>
    <w:rsid w:val="00331335"/>
    <w:rsid w:val="003C405B"/>
    <w:rsid w:val="004B4B7E"/>
    <w:rsid w:val="00521BFC"/>
    <w:rsid w:val="00531961"/>
    <w:rsid w:val="005739FB"/>
    <w:rsid w:val="00591358"/>
    <w:rsid w:val="005B30C9"/>
    <w:rsid w:val="005B35D3"/>
    <w:rsid w:val="005E7E29"/>
    <w:rsid w:val="005F20E0"/>
    <w:rsid w:val="005F25DC"/>
    <w:rsid w:val="00654812"/>
    <w:rsid w:val="0066602A"/>
    <w:rsid w:val="006D16AC"/>
    <w:rsid w:val="007804CD"/>
    <w:rsid w:val="007B6B2E"/>
    <w:rsid w:val="007E0C98"/>
    <w:rsid w:val="008213B1"/>
    <w:rsid w:val="0083509C"/>
    <w:rsid w:val="00836B40"/>
    <w:rsid w:val="00851203"/>
    <w:rsid w:val="00883E2B"/>
    <w:rsid w:val="008F5787"/>
    <w:rsid w:val="00911F2A"/>
    <w:rsid w:val="00932AC9"/>
    <w:rsid w:val="009356B9"/>
    <w:rsid w:val="00956FF8"/>
    <w:rsid w:val="009D3FEB"/>
    <w:rsid w:val="009E07F4"/>
    <w:rsid w:val="009E5680"/>
    <w:rsid w:val="00A81897"/>
    <w:rsid w:val="00AE44C0"/>
    <w:rsid w:val="00B0766A"/>
    <w:rsid w:val="00B24AAF"/>
    <w:rsid w:val="00B43256"/>
    <w:rsid w:val="00B816AA"/>
    <w:rsid w:val="00B918F5"/>
    <w:rsid w:val="00BB27D3"/>
    <w:rsid w:val="00C2675D"/>
    <w:rsid w:val="00C34067"/>
    <w:rsid w:val="00C7291F"/>
    <w:rsid w:val="00D349B0"/>
    <w:rsid w:val="00D37F65"/>
    <w:rsid w:val="00D4301A"/>
    <w:rsid w:val="00D74272"/>
    <w:rsid w:val="00D77B1E"/>
    <w:rsid w:val="00D90C2D"/>
    <w:rsid w:val="00DA2FB4"/>
    <w:rsid w:val="00DE4B16"/>
    <w:rsid w:val="00E113E7"/>
    <w:rsid w:val="00E11EDC"/>
    <w:rsid w:val="00E14175"/>
    <w:rsid w:val="00E35BC7"/>
    <w:rsid w:val="00E4769C"/>
    <w:rsid w:val="00E92BFA"/>
    <w:rsid w:val="00E93A3D"/>
    <w:rsid w:val="00EE31D8"/>
    <w:rsid w:val="00F074AF"/>
    <w:rsid w:val="00F22492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F924A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  <w:style w:type="paragraph" w:styleId="Footer">
    <w:name w:val="footer"/>
    <w:basedOn w:val="Normal"/>
    <w:link w:val="FooterChar"/>
    <w:uiPriority w:val="99"/>
    <w:rsid w:val="009D3FE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D3FE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39F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5739F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9</cp:revision>
  <dcterms:created xsi:type="dcterms:W3CDTF">2025-06-07T21:05:00Z</dcterms:created>
  <dcterms:modified xsi:type="dcterms:W3CDTF">2025-06-11T16:54:00Z</dcterms:modified>
</cp:coreProperties>
</file>