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3726BC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E1659">
              <w:rPr>
                <w:lang w:val="sr-Cyrl-RS"/>
              </w:rPr>
              <w:t>40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74E8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8E1659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Појам и врсте равнотеже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E1659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E23DFD" w:rsidRDefault="00643F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се 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упознају са појмом равнотеже тела,</w:t>
            </w:r>
          </w:p>
          <w:p w:rsidR="003726BC" w:rsidRDefault="00643F40" w:rsidP="00E23DFD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3726BC">
              <w:rPr>
                <w:rFonts w:cstheme="minorHAnsi"/>
                <w:sz w:val="20"/>
                <w:szCs w:val="20"/>
                <w:lang w:val="sr-Cyrl-RS"/>
              </w:rPr>
              <w:t xml:space="preserve">а се ученици 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упознају са појмом статичке и динамичке равнотеже,</w:t>
            </w:r>
          </w:p>
          <w:p w:rsidR="00E23DFD" w:rsidRPr="00E23DFD" w:rsidRDefault="00643F40" w:rsidP="00E23DFD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 xml:space="preserve"> се ученици упознају са врстама равнотеже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43F40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43F40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3449DE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E23DFD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 којим условима се тело налази у стању равнотеже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92BFA" w:rsidRPr="00E23DFD" w:rsidRDefault="00E23DFD" w:rsidP="00E23DFD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статичка а шта динамичка равнотеж</w:t>
            </w:r>
            <w:r w:rsidRPr="00E23DF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а</w:t>
            </w:r>
            <w:r w:rsidR="00D053B1" w:rsidRPr="00E23DF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D053B1" w:rsidRDefault="00E23DFD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врсте равнотеже.</w:t>
            </w:r>
          </w:p>
          <w:p w:rsidR="00E14175" w:rsidRPr="00E14175" w:rsidRDefault="00E14175" w:rsidP="005E0082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E23DFD">
              <w:rPr>
                <w:rFonts w:cstheme="minorHAnsi"/>
                <w:sz w:val="20"/>
                <w:szCs w:val="20"/>
                <w:lang w:val="sr-Cyrl-RS"/>
              </w:rPr>
              <w:t>, рад у групи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E23DFD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Картон , мало већи ексер, конац, мањи тег, оловка, дрвени квадар, лењир,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E23DFD" w:rsidP="00E23DF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 од по три ученика, наставник упућује ученике да изведу демонстрациони оглед који се у уџбенику налази на страни 64. Ученици реализују демострациони оглед, током реализације демоснтрационог 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971606" w:rsidRDefault="00971606" w:rsidP="00971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4A016D">
              <w:rPr>
                <w:lang w:val="sr-Cyrl-RS"/>
              </w:rPr>
              <w:t>д</w:t>
            </w:r>
            <w:r>
              <w:rPr>
                <w:lang w:val="sr-Cyrl-RS"/>
              </w:rPr>
              <w:t>ставници сваке групе излажу своја запажања која је група уочила током извођења демонстрационог огледа.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E5342A" w:rsidRDefault="00DE52D6" w:rsidP="0024201F">
            <w:p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lastRenderedPageBreak/>
              <w:t>Помоћу другог Њутновог закона:</w:t>
            </w:r>
          </w:p>
          <w:p w:rsidR="00DE52D6" w:rsidRPr="001C737B" w:rsidRDefault="00DE52D6" w:rsidP="00DE52D6">
            <w:pPr>
              <w:jc w:val="center"/>
              <w:rPr>
                <w:rFonts w:eastAsiaTheme="minorEastAsia"/>
                <w:b/>
                <w:lang w:val="sr-Cyrl-R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lang w:val="sr-Cyrl-RS"/>
                  </w:rPr>
                  <m:t>Fᵣ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sr-Cyrl-R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sr-Cyrl-RS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sr-Cyrl-R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lang w:val="sr-Cyrl-RS"/>
                  </w:rPr>
                  <m:t>m</m:t>
                </m:r>
                <m:r>
                  <m:rPr>
                    <m:sty m:val="bi"/>
                  </m:rPr>
                  <w:rPr>
                    <w:rFonts w:ascii="Times New Roman" w:hAnsi="Times New Roman" w:cs="Times New Roman"/>
                    <w:lang w:val="sr-Cyrl-RS"/>
                  </w:rPr>
                  <m:t>⸱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lang w:val="sr-Cyrl-RS"/>
                  </w:rPr>
                  <m:t>a</m:t>
                </m:r>
              </m:oMath>
            </m:oMathPara>
          </w:p>
          <w:p w:rsidR="00DE52D6" w:rsidRDefault="004E0773" w:rsidP="0024201F">
            <w:p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 xml:space="preserve">Објашњава услов да тело буде у стању равнотеже, </w:t>
            </w:r>
            <m:oMath>
              <m:r>
                <w:rPr>
                  <w:rFonts w:ascii="Cambria Math" w:hAnsi="Cambria Math" w:cs="Times New Roman"/>
                  <w:lang w:val="sr-Cyrl-RS"/>
                </w:rPr>
                <m:t>Fᵣ=0 N</m:t>
              </m:r>
            </m:oMath>
            <w:r>
              <w:rPr>
                <w:rFonts w:eastAsiaTheme="minorEastAsia" w:cstheme="minorHAnsi"/>
                <w:lang w:val="sr-Cyrl-RS"/>
              </w:rPr>
              <w:t>.</w:t>
            </w:r>
          </w:p>
          <w:p w:rsidR="004E0773" w:rsidRDefault="004E0773" w:rsidP="0024201F">
            <w:p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Наставник на примерима објашњава када се тело налази у стању статичке равнотежа а</w:t>
            </w:r>
            <w:r w:rsidR="004A016D">
              <w:rPr>
                <w:rFonts w:eastAsiaTheme="minorEastAsia" w:cstheme="minorHAnsi"/>
                <w:lang w:val="sr-Cyrl-RS"/>
              </w:rPr>
              <w:t xml:space="preserve"> </w:t>
            </w:r>
            <w:r>
              <w:rPr>
                <w:rFonts w:eastAsiaTheme="minorEastAsia" w:cstheme="minorHAnsi"/>
                <w:lang w:val="sr-Cyrl-RS"/>
              </w:rPr>
              <w:t>када у стању динамичке равнотеже.</w:t>
            </w:r>
          </w:p>
          <w:p w:rsidR="00E5342A" w:rsidRDefault="004E0773" w:rsidP="00E5342A">
            <w:p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Анализом демонстрационог огледа заједно са ученицима наставник уводи појам тежишта тела.</w:t>
            </w:r>
          </w:p>
          <w:p w:rsidR="004E0773" w:rsidRDefault="004A016D" w:rsidP="00E5342A">
            <w:pPr>
              <w:spacing w:after="160" w:line="259" w:lineRule="auto"/>
              <w:jc w:val="both"/>
              <w:rPr>
                <w:rFonts w:eastAsiaTheme="minorEastAsia" w:cstheme="minorHAnsi"/>
                <w:lang w:val="sr-Cyrl-RS"/>
              </w:rPr>
            </w:pPr>
            <w:r>
              <w:rPr>
                <w:rFonts w:eastAsiaTheme="minorEastAsia" w:cstheme="minorHAnsi"/>
                <w:lang w:val="sr-Cyrl-RS"/>
              </w:rPr>
              <w:t>Н</w:t>
            </w:r>
            <w:r w:rsidR="004E0773">
              <w:rPr>
                <w:rFonts w:eastAsiaTheme="minorEastAsia" w:cstheme="minorHAnsi"/>
                <w:lang w:val="sr-Cyrl-RS"/>
              </w:rPr>
              <w:t xml:space="preserve">а примеру квадра из демонстрациононог огледа са стране 66. </w:t>
            </w:r>
            <w:r>
              <w:rPr>
                <w:rFonts w:eastAsiaTheme="minorEastAsia" w:cstheme="minorHAnsi"/>
                <w:lang w:val="sr-Cyrl-RS"/>
              </w:rPr>
              <w:t xml:space="preserve">наставник </w:t>
            </w:r>
            <w:r w:rsidR="004E0773">
              <w:rPr>
                <w:rFonts w:eastAsiaTheme="minorEastAsia" w:cstheme="minorHAnsi"/>
                <w:lang w:val="sr-Cyrl-RS"/>
              </w:rPr>
              <w:t>уводи ученике у стабилност тела.</w:t>
            </w:r>
          </w:p>
          <w:p w:rsidR="004E0773" w:rsidRDefault="004E0773" w:rsidP="00E5342A">
            <w:p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да изведу демонстрациони оглед који се у уџбенику налази на страни 67. Ученици реализују демострациони оглед, током реализације </w:t>
            </w:r>
            <w:bookmarkStart w:id="0" w:name="_GoBack"/>
            <w:bookmarkEnd w:id="0"/>
            <w:r>
              <w:rPr>
                <w:lang w:val="sr-Cyrl-RS"/>
              </w:rPr>
              <w:t>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4E0773" w:rsidRPr="004E0773" w:rsidRDefault="004E0773" w:rsidP="00E5342A">
            <w:pPr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анализе демонстрационог огледа наставник уводи ученике у врсте равнотеже : стабилна, лабилна и индиферентна.</w:t>
            </w:r>
          </w:p>
          <w:p w:rsidR="003B154F" w:rsidRPr="0083509C" w:rsidRDefault="003B154F" w:rsidP="00E5342A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E5342A" w:rsidRDefault="004E0773" w:rsidP="00E5342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Анализом примера из бокса „Занимљивост“ наставник проверава оствареност исхода.</w:t>
            </w:r>
          </w:p>
          <w:p w:rsidR="00F431A1" w:rsidRDefault="00F431A1" w:rsidP="00705F2B">
            <w:pPr>
              <w:spacing w:after="120"/>
              <w:jc w:val="both"/>
              <w:rPr>
                <w:lang w:val="sr-Cyrl-RS"/>
              </w:rPr>
            </w:pP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962A5"/>
    <w:multiLevelType w:val="hybridMultilevel"/>
    <w:tmpl w:val="0B70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251F4"/>
    <w:multiLevelType w:val="hybridMultilevel"/>
    <w:tmpl w:val="6E02BEC6"/>
    <w:lvl w:ilvl="0" w:tplc="1C9A7F32">
      <w:start w:val="1"/>
      <w:numFmt w:val="bullet"/>
      <w:lvlText w:val="-"/>
      <w:lvlJc w:val="left"/>
      <w:pPr>
        <w:ind w:left="144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D38B8"/>
    <w:multiLevelType w:val="hybridMultilevel"/>
    <w:tmpl w:val="56B4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71ACE"/>
    <w:multiLevelType w:val="hybridMultilevel"/>
    <w:tmpl w:val="0396EA64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F0B4F"/>
    <w:multiLevelType w:val="hybridMultilevel"/>
    <w:tmpl w:val="A8206AE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A287B"/>
    <w:multiLevelType w:val="hybridMultilevel"/>
    <w:tmpl w:val="7D84B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DD5175D"/>
    <w:multiLevelType w:val="hybridMultilevel"/>
    <w:tmpl w:val="11288DB6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3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1"/>
  </w:num>
  <w:num w:numId="14">
    <w:abstractNumId w:val="15"/>
  </w:num>
  <w:num w:numId="15">
    <w:abstractNumId w:val="3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E3914"/>
    <w:rsid w:val="000F701A"/>
    <w:rsid w:val="00224942"/>
    <w:rsid w:val="002256EA"/>
    <w:rsid w:val="0024201F"/>
    <w:rsid w:val="00246989"/>
    <w:rsid w:val="002D7ADC"/>
    <w:rsid w:val="00331335"/>
    <w:rsid w:val="003449DE"/>
    <w:rsid w:val="003726BC"/>
    <w:rsid w:val="003A1EAB"/>
    <w:rsid w:val="003B154F"/>
    <w:rsid w:val="004A016D"/>
    <w:rsid w:val="004B4B7E"/>
    <w:rsid w:val="004E0773"/>
    <w:rsid w:val="00521BFC"/>
    <w:rsid w:val="00591358"/>
    <w:rsid w:val="005E0082"/>
    <w:rsid w:val="00643F40"/>
    <w:rsid w:val="00654812"/>
    <w:rsid w:val="00674E82"/>
    <w:rsid w:val="00705F2B"/>
    <w:rsid w:val="007106E1"/>
    <w:rsid w:val="007338E1"/>
    <w:rsid w:val="007758A0"/>
    <w:rsid w:val="007804CD"/>
    <w:rsid w:val="0078403C"/>
    <w:rsid w:val="007B6B2E"/>
    <w:rsid w:val="007E0C98"/>
    <w:rsid w:val="00810606"/>
    <w:rsid w:val="008138D0"/>
    <w:rsid w:val="008213B1"/>
    <w:rsid w:val="0083509C"/>
    <w:rsid w:val="00836B40"/>
    <w:rsid w:val="00883E2B"/>
    <w:rsid w:val="008E1659"/>
    <w:rsid w:val="00932AC9"/>
    <w:rsid w:val="00956FF8"/>
    <w:rsid w:val="00971606"/>
    <w:rsid w:val="009E07F4"/>
    <w:rsid w:val="00A705A2"/>
    <w:rsid w:val="00A81897"/>
    <w:rsid w:val="00B43256"/>
    <w:rsid w:val="00B816AA"/>
    <w:rsid w:val="00D053B1"/>
    <w:rsid w:val="00D349B0"/>
    <w:rsid w:val="00D37F65"/>
    <w:rsid w:val="00D4301A"/>
    <w:rsid w:val="00D77B1E"/>
    <w:rsid w:val="00DA2FB4"/>
    <w:rsid w:val="00DE52D6"/>
    <w:rsid w:val="00E14175"/>
    <w:rsid w:val="00E23DFD"/>
    <w:rsid w:val="00E35BC7"/>
    <w:rsid w:val="00E4769C"/>
    <w:rsid w:val="00E5342A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1812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customStyle="1" w:styleId="1tekst">
    <w:name w:val="1tekst"/>
    <w:basedOn w:val="Normal"/>
    <w:rsid w:val="003A1EAB"/>
    <w:pPr>
      <w:spacing w:after="0" w:line="240" w:lineRule="auto"/>
      <w:ind w:left="500" w:right="500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8</cp:revision>
  <dcterms:created xsi:type="dcterms:W3CDTF">2025-06-09T17:19:00Z</dcterms:created>
  <dcterms:modified xsi:type="dcterms:W3CDTF">2025-06-11T04:41:00Z</dcterms:modified>
</cp:coreProperties>
</file>