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Безбедно коришћење дигиталних уређаја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0" w:right="-20" w:firstLine="0"/>
              <w:rPr/>
            </w:pPr>
            <w:r w:rsidDel="00000000" w:rsidR="00000000" w:rsidRPr="00000000">
              <w:rPr>
                <w:rtl w:val="0"/>
              </w:rPr>
              <w:t xml:space="preserve">     Састави план коришћења дигиталних уређаја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9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D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Израда личног плана за коришћење дигиталних уређаја.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2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да планира дневне  активноси указујући на коришћење дигиталних уређаја.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0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before="82" w:line="240" w:lineRule="auto"/>
              <w:ind w:left="720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направи лични план коришћења дигиталних уређаја уз помоћ наставника.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8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39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Српски језик- састављање плана</w:t>
            </w:r>
          </w:p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Ликовна култура - попуњавање табела бојом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3F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2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Безбедно коришћење дигиталних уређаја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4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4F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Води разговор о времену у току једног дана.</w:t>
            </w:r>
          </w:p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Колико времена проводиш у школи?</w:t>
            </w:r>
          </w:p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Колико се играш током дана?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Колико ти времена треба да урадиш домаће задатке?Упућује на задатке у уџбенику страна 46.</w:t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 наставника.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Цртају казаљке на сатевима у уџбенику.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Боје квадратиће колико времена проводе у спавању.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Израда плана коришћења дигиталних уређаја кроз план дневних активности.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Наведи активности које обављаш у току дана.</w:t>
            </w:r>
          </w:p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(учење, игра, одмор и спавање, време са породицом, коришћење дигиталних уређаја)</w:t>
            </w:r>
          </w:p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Колико времена је одређено за коришћење дигиталних уређаја у току дана?</w:t>
            </w:r>
          </w:p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Замисли да твоје активности воде различити суперхероји. </w:t>
            </w:r>
          </w:p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 уџбенику су означени различитим бојама.(страна 46 и 47)</w:t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на попуњавање табеле у уџбенику.</w:t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Поставља питања о попуњеној табели.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наставника.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Учествују у разговору о дневним активностима.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активности приказане кроз суперхероје.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Попуњавају табелу у уџбенику водећи рачуна о одређеним бојама за активности.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Прати рад ученика.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Упоређује попуњене табеле.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Поставља питања.</w:t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Која боја преовлађује у табели?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Како користиш паузе у току дана?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Истиче важност одмора и времена проведеног у разговору и дружењу.</w:t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Врше анализу попуњене табеле.</w:t>
            </w:r>
          </w:p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 дата у уџбенику.</w:t>
            </w:r>
          </w:p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Наводе које активности су најчешће у току дана.</w:t>
            </w:r>
          </w:p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Наводе на који начин проводе време за одмор и разоноду.</w:t>
            </w:r>
          </w:p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Разговарај са родитељима како су они проводили време када су били у твом узрасту.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 –</w:t>
            </w:r>
          </w:p>
          <w:p w:rsidR="00000000" w:rsidDel="00000000" w:rsidP="00000000" w:rsidRDefault="00000000" w:rsidRPr="00000000" w14:paraId="0000008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Израђује лични план дневних активности.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280.0" w:type="dxa"/>
        <w:jc w:val="left"/>
        <w:tblInd w:w="-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65"/>
        <w:gridCol w:w="5955"/>
        <w:gridCol w:w="3360"/>
        <w:tblGridChange w:id="0">
          <w:tblGrid>
            <w:gridCol w:w="1965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F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D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2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3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p w:rsidR="00000000" w:rsidDel="00000000" w:rsidP="00000000" w:rsidRDefault="00000000" w:rsidRPr="00000000" w14:paraId="000000A4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 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00B050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