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A301E" w:rsidRPr="001A301E" w:rsidTr="00C91E6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A301E" w:rsidRPr="007A4939" w:rsidTr="00C91E6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A301E" w:rsidRPr="001A301E" w:rsidTr="00C91E6D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 w:rsidRPr="001A301E">
              <w:rPr>
                <w:rFonts w:eastAsiaTheme="minorEastAsia"/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 w:rsidRPr="001A301E">
              <w:rPr>
                <w:rFonts w:eastAsiaTheme="minorEastAs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A301E" w:rsidRPr="001A301E" w:rsidTr="00C91E6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A301E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A301E" w:rsidRPr="001A301E" w:rsidTr="00C91E6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 14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A301E">
              <w:rPr>
                <w:rFonts w:eastAsiaTheme="minorEastAsia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A301E" w:rsidRPr="001A301E" w:rsidTr="00C91E6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450FD" w:rsidP="001A301E">
            <w:pPr>
              <w:spacing w:line="254" w:lineRule="auto"/>
              <w:jc w:val="both"/>
              <w:rPr>
                <w:rFonts w:eastAsiaTheme="minorEastAsia"/>
                <w:lang w:val="de-DE" w:eastAsia="sr-Latn-CS"/>
              </w:rPr>
            </w:pPr>
            <w:r>
              <w:rPr>
                <w:rFonts w:eastAsiaTheme="minorEastAsia" w:cs="Calibri"/>
                <w:lang w:val="de-DE"/>
              </w:rPr>
              <w:t>Eine super Stimmung!</w:t>
            </w:r>
          </w:p>
        </w:tc>
      </w:tr>
      <w:tr w:rsidR="001A301E" w:rsidRPr="001A301E" w:rsidTr="00C91E6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450FD" w:rsidP="001A301E">
            <w:pPr>
              <w:spacing w:line="254" w:lineRule="auto"/>
              <w:rPr>
                <w:rFonts w:eastAsiaTheme="minorEastAsia" w:cs="Calibri"/>
                <w:lang w:val="de-DE"/>
              </w:rPr>
            </w:pPr>
            <w:r>
              <w:rPr>
                <w:rFonts w:eastAsiaTheme="minorEastAsia" w:cs="Calibri"/>
                <w:lang w:val="de-DE"/>
              </w:rPr>
              <w:t>Unglaublich</w:t>
            </w:r>
            <w:r w:rsidR="007D62E7">
              <w:rPr>
                <w:rFonts w:eastAsiaTheme="minorEastAsia" w:cs="Calibri"/>
                <w:lang w:val="de-DE"/>
              </w:rPr>
              <w:t>!</w:t>
            </w:r>
          </w:p>
        </w:tc>
      </w:tr>
      <w:tr w:rsidR="001A301E" w:rsidRPr="001A301E" w:rsidTr="00C91E6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A301E" w:rsidP="001A301E">
            <w:pPr>
              <w:spacing w:line="254" w:lineRule="auto"/>
              <w:jc w:val="both"/>
              <w:rPr>
                <w:rFonts w:eastAsiaTheme="minorEastAsia"/>
                <w:lang w:eastAsia="sr-Latn-CS"/>
              </w:rPr>
            </w:pPr>
            <w:r w:rsidRPr="001A301E">
              <w:rPr>
                <w:rFonts w:eastAsiaTheme="minorEastAsia"/>
                <w:lang w:val="sr-Cyrl-RS" w:eastAsia="sr-Latn-CS"/>
              </w:rPr>
              <w:t>Обрада</w:t>
            </w:r>
          </w:p>
        </w:tc>
      </w:tr>
      <w:tr w:rsidR="001A301E" w:rsidRPr="007A4939" w:rsidTr="00C91E6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450FD" w:rsidP="001A301E">
            <w:pPr>
              <w:spacing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RS" w:eastAsia="sr-Latn-CS"/>
              </w:rPr>
              <w:t>Разумевање језичког садржаја</w:t>
            </w:r>
            <w:r w:rsidR="001A301E" w:rsidRPr="001A301E">
              <w:rPr>
                <w:rFonts w:eastAsiaTheme="minorEastAsia"/>
                <w:lang w:val="sr-Cyrl-CS" w:eastAsia="sr-Latn-CS"/>
              </w:rPr>
              <w:t xml:space="preserve"> у форми дијалога</w:t>
            </w:r>
            <w:r w:rsidR="001A301E" w:rsidRPr="001A301E">
              <w:rPr>
                <w:rFonts w:eastAsiaTheme="minorEastAsia"/>
                <w:lang w:val="sr-Cyrl-RS" w:eastAsia="sr-Latn-CS"/>
              </w:rPr>
              <w:t xml:space="preserve"> </w:t>
            </w:r>
            <w:r>
              <w:rPr>
                <w:rFonts w:eastAsiaTheme="minorEastAsia"/>
                <w:lang w:val="sr-Cyrl-RS" w:eastAsia="sr-Latn-CS"/>
              </w:rPr>
              <w:t xml:space="preserve">и текста о пореклу мјузикла </w:t>
            </w:r>
          </w:p>
        </w:tc>
      </w:tr>
      <w:tr w:rsidR="001A301E" w:rsidRPr="007A4939" w:rsidTr="00C91E6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A301E" w:rsidP="001A301E">
            <w:pPr>
              <w:spacing w:after="0" w:line="254" w:lineRule="auto"/>
              <w:jc w:val="both"/>
              <w:rPr>
                <w:rFonts w:eastAsiaTheme="minorEastAsia"/>
                <w:b/>
                <w:lang w:val="sr-Cyrl-CS" w:eastAsia="sr-Latn-CS"/>
              </w:rPr>
            </w:pPr>
            <w:r w:rsidRPr="001A301E">
              <w:rPr>
                <w:rFonts w:eastAsiaTheme="minorEastAsia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7A4939" w:rsidRPr="007A4939" w:rsidRDefault="001A301E" w:rsidP="001450FD">
            <w:pPr>
              <w:numPr>
                <w:ilvl w:val="0"/>
                <w:numId w:val="1"/>
              </w:numPr>
              <w:spacing w:after="0" w:line="254" w:lineRule="auto"/>
              <w:contextualSpacing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BA" w:eastAsia="sr-Latn-CS"/>
              </w:rPr>
              <w:t xml:space="preserve">разумеју и </w:t>
            </w:r>
            <w:r w:rsidR="00787D26">
              <w:rPr>
                <w:rFonts w:eastAsiaTheme="minorEastAsia"/>
                <w:lang w:val="sr-Cyrl-BA" w:eastAsia="sr-Latn-CS"/>
              </w:rPr>
              <w:t>реагују на исказе везане за конкретан дијалог</w:t>
            </w:r>
            <w:r w:rsidR="00D82D7A">
              <w:rPr>
                <w:rFonts w:eastAsiaTheme="minorEastAsia"/>
                <w:lang w:val="sr-Cyrl-BA" w:eastAsia="sr-Latn-CS"/>
              </w:rPr>
              <w:t xml:space="preserve">, </w:t>
            </w:r>
          </w:p>
          <w:p w:rsidR="007A4939" w:rsidRPr="007A4939" w:rsidRDefault="00D82D7A" w:rsidP="001450FD">
            <w:pPr>
              <w:numPr>
                <w:ilvl w:val="0"/>
                <w:numId w:val="1"/>
              </w:numPr>
              <w:spacing w:after="0" w:line="254" w:lineRule="auto"/>
              <w:contextualSpacing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BA" w:eastAsia="sr-Latn-CS"/>
              </w:rPr>
              <w:t>поставе одговарајуће питање и дају</w:t>
            </w:r>
            <w:r w:rsidR="001A301E" w:rsidRPr="001A301E">
              <w:rPr>
                <w:rFonts w:eastAsiaTheme="minorEastAsia"/>
                <w:lang w:val="sr-Cyrl-BA" w:eastAsia="sr-Latn-CS"/>
              </w:rPr>
              <w:t xml:space="preserve"> </w:t>
            </w:r>
            <w:r w:rsidR="001450FD">
              <w:rPr>
                <w:rFonts w:eastAsiaTheme="minorEastAsia"/>
                <w:lang w:val="sr-Cyrl-BA" w:eastAsia="sr-Latn-CS"/>
              </w:rPr>
              <w:t>одговор</w:t>
            </w:r>
            <w:r w:rsidR="00787D26">
              <w:rPr>
                <w:rFonts w:eastAsiaTheme="minorEastAsia"/>
                <w:lang w:val="sr-Cyrl-BA" w:eastAsia="sr-Latn-CS"/>
              </w:rPr>
              <w:t xml:space="preserve"> у вези са дијалогом и потоњим текстом</w:t>
            </w:r>
            <w:r>
              <w:rPr>
                <w:rFonts w:eastAsiaTheme="minorEastAsia"/>
                <w:lang w:val="sr-Cyrl-BA" w:eastAsia="sr-Latn-CS"/>
              </w:rPr>
              <w:t xml:space="preserve">, </w:t>
            </w:r>
          </w:p>
          <w:p w:rsidR="001A301E" w:rsidRPr="001A301E" w:rsidRDefault="00D82D7A" w:rsidP="001450FD">
            <w:pPr>
              <w:numPr>
                <w:ilvl w:val="0"/>
                <w:numId w:val="1"/>
              </w:numPr>
              <w:spacing w:after="0" w:line="254" w:lineRule="auto"/>
              <w:contextualSpacing/>
              <w:jc w:val="both"/>
              <w:rPr>
                <w:rFonts w:eastAsiaTheme="minorEastAsia"/>
                <w:lang w:val="sr-Cyrl-CS" w:eastAsia="sr-Latn-CS"/>
              </w:rPr>
            </w:pPr>
            <w:r>
              <w:rPr>
                <w:rFonts w:eastAsiaTheme="minorEastAsia"/>
                <w:lang w:val="sr-Cyrl-BA" w:eastAsia="sr-Latn-CS"/>
              </w:rPr>
              <w:t>дају</w:t>
            </w:r>
            <w:r w:rsidR="001450FD">
              <w:rPr>
                <w:rFonts w:eastAsiaTheme="minorEastAsia"/>
                <w:lang w:val="sr-Cyrl-BA" w:eastAsia="sr-Latn-CS"/>
              </w:rPr>
              <w:t xml:space="preserve"> своје мишљење о одређеној музичкој форми (мјузикл)</w:t>
            </w:r>
            <w:r w:rsidR="007A4939">
              <w:rPr>
                <w:rFonts w:eastAsiaTheme="minorEastAsia"/>
                <w:lang w:val="sr-Cyrl-BA" w:eastAsia="sr-Latn-CS"/>
              </w:rPr>
              <w:t>.</w:t>
            </w:r>
          </w:p>
        </w:tc>
      </w:tr>
      <w:tr w:rsidR="001A301E" w:rsidRPr="007A4939" w:rsidTr="00C91E6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A301E" w:rsidP="001A301E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A301E" w:rsidRPr="007A4939" w:rsidTr="00C91E6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A301E" w:rsidP="001A301E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/>
              </w:rPr>
              <w:t>Слушање, писање, дијалошка, монолошка метода</w:t>
            </w:r>
          </w:p>
        </w:tc>
      </w:tr>
      <w:tr w:rsidR="001A301E" w:rsidRPr="001A301E" w:rsidTr="00C91E6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A301E" w:rsidP="001A301E">
            <w:pPr>
              <w:spacing w:after="0" w:line="254" w:lineRule="auto"/>
              <w:jc w:val="both"/>
              <w:rPr>
                <w:rFonts w:eastAsiaTheme="minorEastAsia"/>
                <w:lang w:val="sr-Cyrl-RS" w:eastAsia="sr-Latn-CS"/>
              </w:rPr>
            </w:pPr>
            <w:r w:rsidRPr="001A301E">
              <w:rPr>
                <w:rFonts w:eastAsiaTheme="minorEastAsia"/>
                <w:lang w:val="sr-Cyrl-CS"/>
              </w:rPr>
              <w:t xml:space="preserve">Табла,  уџбеник, свеска, </w:t>
            </w:r>
            <w:r w:rsidR="001450FD">
              <w:rPr>
                <w:rFonts w:eastAsiaTheme="minorEastAsia"/>
                <w:lang w:val="sr-Cyrl-CS"/>
              </w:rPr>
              <w:t xml:space="preserve">радна свеска, </w:t>
            </w:r>
            <w:r w:rsidRPr="001A301E">
              <w:rPr>
                <w:rFonts w:eastAsiaTheme="minorEastAsia"/>
                <w:lang w:val="sr-Cyrl-CS"/>
              </w:rPr>
              <w:t>рачунар, пројектор</w:t>
            </w:r>
          </w:p>
        </w:tc>
      </w:tr>
      <w:tr w:rsidR="001A301E" w:rsidRPr="001A301E" w:rsidTr="00C91E6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01E" w:rsidRPr="001A301E" w:rsidRDefault="001A301E" w:rsidP="001A301E">
            <w:pPr>
              <w:spacing w:after="0" w:line="254" w:lineRule="auto"/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</w:pP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A301E">
              <w:rPr>
                <w:rFonts w:eastAsiaTheme="minorEastAsia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1E" w:rsidRPr="001A301E" w:rsidRDefault="001A301E" w:rsidP="001A301E">
            <w:pPr>
              <w:spacing w:after="0" w:line="254" w:lineRule="auto"/>
              <w:jc w:val="both"/>
              <w:rPr>
                <w:rFonts w:eastAsiaTheme="minorEastAsia"/>
                <w:lang w:val="sr-Cyrl-CS" w:eastAsia="sr-Latn-CS"/>
              </w:rPr>
            </w:pPr>
            <w:r w:rsidRPr="001A301E">
              <w:rPr>
                <w:rFonts w:eastAsiaTheme="minorEastAsia"/>
                <w:lang w:val="sr-Cyrl-CS" w:eastAsia="sr-Latn-CS"/>
              </w:rPr>
              <w:t>Српски језик, енглески језик,</w:t>
            </w:r>
            <w:r w:rsidR="003B3279">
              <w:rPr>
                <w:rFonts w:eastAsiaTheme="minorEastAsia"/>
                <w:lang w:val="sr-Cyrl-CS" w:eastAsia="sr-Latn-CS"/>
              </w:rPr>
              <w:t xml:space="preserve"> музичка култура</w:t>
            </w:r>
            <w:r w:rsidR="00782865">
              <w:rPr>
                <w:rFonts w:eastAsiaTheme="minorEastAsia"/>
                <w:lang w:val="sr-Cyrl-CS" w:eastAsia="sr-Latn-CS"/>
              </w:rPr>
              <w:t>, историја</w:t>
            </w:r>
          </w:p>
        </w:tc>
      </w:tr>
      <w:tr w:rsidR="001A301E" w:rsidRPr="001A301E" w:rsidTr="00C91E6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line="254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301E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A301E" w:rsidRPr="001A301E" w:rsidTr="00C91E6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Уводни део:</w:t>
            </w:r>
          </w:p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line="254" w:lineRule="auto"/>
              <w:jc w:val="both"/>
              <w:rPr>
                <w:rFonts w:eastAsiaTheme="minorEastAsia" w:cstheme="minorHAnsi"/>
                <w:lang w:val="sr-Cyrl-CS"/>
              </w:rPr>
            </w:pPr>
            <w:r w:rsidRPr="001A301E">
              <w:rPr>
                <w:rFonts w:eastAsiaTheme="minorEastAsia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1A301E">
              <w:rPr>
                <w:rFonts w:eastAsiaTheme="minorEastAsia" w:cs="Calibri"/>
                <w:lang w:val="sr-Cyrl-CS"/>
              </w:rPr>
              <w:t xml:space="preserve"> „</w:t>
            </w:r>
            <w:r w:rsidR="00782865">
              <w:rPr>
                <w:rFonts w:eastAsiaTheme="minorEastAsia" w:cs="Calibri"/>
                <w:lang w:val="de-DE"/>
              </w:rPr>
              <w:t>Unglaublich</w:t>
            </w:r>
            <w:r w:rsidR="00782865" w:rsidRPr="00782865">
              <w:rPr>
                <w:rFonts w:eastAsiaTheme="minorEastAsia" w:cs="Calibri"/>
                <w:lang w:val="sr-Cyrl-CS"/>
              </w:rPr>
              <w:t>!</w:t>
            </w:r>
            <w:r w:rsidRPr="001A301E">
              <w:rPr>
                <w:rFonts w:eastAsiaTheme="minorEastAsia" w:cs="Calibri"/>
                <w:lang w:val="sr-Cyrl-CS"/>
              </w:rPr>
              <w:t>“</w:t>
            </w:r>
            <w:r w:rsidRPr="001A301E">
              <w:rPr>
                <w:rFonts w:eastAsiaTheme="minorEastAsia" w:cstheme="minorHAnsi"/>
                <w:lang w:val="sr-Cyrl-RS"/>
              </w:rPr>
              <w:t xml:space="preserve">  (</w:t>
            </w:r>
            <w:r w:rsidRPr="001A301E">
              <w:rPr>
                <w:rFonts w:eastAsiaTheme="minorEastAsia" w:cstheme="minorHAnsi"/>
                <w:lang w:val="sr-Cyrl-CS"/>
              </w:rPr>
              <w:t>уџбеник,</w:t>
            </w:r>
            <w:r w:rsidR="001450FD">
              <w:rPr>
                <w:rFonts w:eastAsiaTheme="minorEastAsia" w:cstheme="minorHAnsi"/>
                <w:lang w:val="sr-Cyrl-CS"/>
              </w:rPr>
              <w:t xml:space="preserve"> стр. 18</w:t>
            </w:r>
            <w:r w:rsidRPr="001A301E">
              <w:rPr>
                <w:rFonts w:eastAsiaTheme="minorEastAsia" w:cstheme="minorHAnsi"/>
                <w:lang w:val="sr-Cyrl-CS"/>
              </w:rPr>
              <w:t>)</w:t>
            </w:r>
            <w:r w:rsidRPr="001A301E">
              <w:rPr>
                <w:rFonts w:eastAsiaTheme="minorEastAsia" w:cstheme="minorHAnsi"/>
                <w:lang w:val="sr-Cyrl-RS"/>
              </w:rPr>
              <w:t>, саопштава циљ(еве) часа.</w:t>
            </w:r>
            <w:r w:rsidRPr="001A301E">
              <w:rPr>
                <w:rFonts w:eastAsiaTheme="minorEastAsia" w:cstheme="minorHAnsi"/>
                <w:lang w:val="sr-Cyrl-CS"/>
              </w:rPr>
              <w:t xml:space="preserve"> </w:t>
            </w:r>
          </w:p>
        </w:tc>
      </w:tr>
      <w:tr w:rsidR="001A301E" w:rsidRPr="007A4939" w:rsidTr="00C91E6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Главни део:</w:t>
            </w:r>
          </w:p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after="0" w:line="254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Personen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auf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dem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B06C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passiert</w:t>
            </w:r>
            <w:r w:rsidR="003B06C5" w:rsidRPr="003B06C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). </w:t>
            </w:r>
          </w:p>
          <w:p w:rsidR="001A301E" w:rsidRPr="001A301E" w:rsidRDefault="001A301E" w:rsidP="001A301E">
            <w:pPr>
              <w:spacing w:after="0" w:line="254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Послушати дијалог вежбе 1, потом ученици читају у паровима, урадити семантизацију и поставити питања везана </w:t>
            </w:r>
            <w:r w:rsidR="00AB205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дијалог. Записати их на таблу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као и одговоре ученика. Ученици записују то у свеске. </w:t>
            </w:r>
          </w:p>
          <w:p w:rsidR="001A301E" w:rsidRPr="001A301E" w:rsidRDefault="001A301E" w:rsidP="001A301E">
            <w:pPr>
              <w:spacing w:after="0" w:line="254" w:lineRule="auto"/>
              <w:jc w:val="both"/>
              <w:rPr>
                <w:rFonts w:ascii="Calibri" w:eastAsia="Times New Roman" w:hAnsi="Calibri" w:cs="Calibri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Овај дијалог је могуће слушати и читати и уз „караоке“ функцију у дигиталној варијанти уџбеника (изговорен текст је приказан у виду „титла“). У том случају, препоручује се подела ученика у групе од по отприлике петоро. 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олакшано. Ова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функција се налази у дигиталном уџбенику (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EliDigiBook</w:t>
            </w:r>
            <w:r w:rsidR="001459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145969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Kursbuck</w:t>
            </w:r>
            <w:r w:rsidR="001459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145969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Bookresources</w:t>
            </w:r>
            <w:r w:rsidR="0014596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145969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organised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by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typ</w:t>
            </w:r>
            <w:r w:rsidR="00145969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e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145969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1A301E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Karaoke</w:t>
            </w:r>
            <w:r w:rsidR="00145969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bookmarkStart w:id="0" w:name="_GoBack"/>
            <w:bookmarkEnd w:id="0"/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7D62E7" w:rsidRPr="007D62E7">
              <w:rPr>
                <w:rFonts w:eastAsiaTheme="minorEastAsia" w:cs="Calibri"/>
                <w:lang w:val="sr-Cyrl-RS"/>
              </w:rPr>
              <w:t xml:space="preserve"> </w:t>
            </w:r>
            <w:r w:rsidR="007D62E7">
              <w:rPr>
                <w:rFonts w:eastAsiaTheme="minorEastAsia" w:cs="Calibri"/>
                <w:lang w:val="de-DE"/>
              </w:rPr>
              <w:t>Unglaublich</w:t>
            </w:r>
            <w:r w:rsidRPr="001A301E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).</w:t>
            </w:r>
          </w:p>
          <w:p w:rsidR="00B32F09" w:rsidRDefault="001A301E" w:rsidP="001A301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вежбу 2а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стр. 19,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поновити слушање дијалога и маркирати решења, провера у пленуму. </w:t>
            </w:r>
          </w:p>
          <w:p w:rsidR="00B32F09" w:rsidRDefault="001A301E" w:rsidP="001A301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Послушати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још једном дијалог и 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</w:t>
            </w:r>
            <w:r w:rsidR="00EF719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унити празнине одговарајућим придевима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вежби 3. 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читају тачне одговоре.</w:t>
            </w:r>
          </w:p>
          <w:p w:rsidR="00B32F09" w:rsidRDefault="001A301E" w:rsidP="001A301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Прочитати текст,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  <w:r w:rsidR="00B32F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 завршетку ове вежбе пустити кратке клипове из неколико поменутих мјузикала. Поставити питања ученицима: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Welche</w:t>
            </w:r>
            <w:r w:rsidR="006E05B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Musical</w:t>
            </w:r>
            <w:r w:rsidR="006E05B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</w:t>
            </w:r>
            <w:r w:rsidR="00535F3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ennt</w:t>
            </w:r>
            <w:r w:rsidR="00535F3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35F3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und</w:t>
            </w:r>
            <w:r w:rsidR="00535F3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35F3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</w:t>
            </w:r>
            <w:r w:rsidR="00535F3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ö</w:t>
            </w:r>
            <w:r w:rsidR="00535F3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ght</w:t>
            </w:r>
            <w:r w:rsidR="00535F3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35F3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ihr</w:t>
            </w:r>
            <w:r w:rsidR="00535F3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</w:t>
            </w:r>
            <w:r w:rsidR="00535F3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nicht</w:t>
            </w:r>
            <w:r w:rsidR="00535F3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)?</w:t>
            </w:r>
            <w:r w:rsidR="006E05B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proofErr w:type="gramStart"/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Warum</w:t>
            </w:r>
            <w:r w:rsidR="006E05B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?,</w:t>
            </w:r>
            <w:proofErr w:type="gramEnd"/>
            <w:r w:rsidR="006E05B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Welches</w:t>
            </w:r>
            <w:r w:rsidR="006E05B8" w:rsidRP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Musical</w:t>
            </w:r>
            <w:r w:rsidR="006E05B8" w:rsidRP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wollt</w:t>
            </w:r>
            <w:r w:rsidR="006E05B8" w:rsidRP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ihr</w:t>
            </w:r>
            <w:r w:rsidR="006E05B8" w:rsidRP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sehen</w:t>
            </w:r>
            <w:r w:rsid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="006A0B7C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, Warum?</w:t>
            </w:r>
            <w:r w:rsid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6A0B7C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 xml:space="preserve"> </w:t>
            </w:r>
            <w:r w:rsid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Welches Musical findet ihr am besten?,</w:t>
            </w:r>
            <w:r w:rsidR="006E05B8" w:rsidRPr="006A0B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B32F09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Warum</w:t>
            </w:r>
            <w:r w:rsidR="00B32F09" w:rsidRPr="00B32F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1A301E" w:rsidRPr="001A301E" w:rsidRDefault="001A301E" w:rsidP="001A301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Фонетска вежба, следити упутство. </w:t>
            </w:r>
          </w:p>
          <w:p w:rsidR="001A301E" w:rsidRPr="001A301E" w:rsidRDefault="001A301E" w:rsidP="001A301E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1</w:t>
            </w:r>
            <w:r w:rsidR="006E05B8" w:rsidRPr="006E05B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6</w:t>
            </w: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самостално урадити вежбу 1 и 2, а потом следи читање одговора.</w:t>
            </w:r>
          </w:p>
          <w:p w:rsidR="001A301E" w:rsidRPr="001A301E" w:rsidRDefault="001A301E" w:rsidP="001A301E">
            <w:pPr>
              <w:spacing w:after="200" w:line="276" w:lineRule="auto"/>
              <w:jc w:val="both"/>
              <w:rPr>
                <w:rFonts w:eastAsiaTheme="minorEastAsia"/>
                <w:color w:val="000000"/>
                <w:lang w:val="sr-Cyrl-CS" w:eastAsia="sr-Latn-CS"/>
              </w:rPr>
            </w:pPr>
          </w:p>
        </w:tc>
      </w:tr>
      <w:tr w:rsidR="001A301E" w:rsidRPr="007A4939" w:rsidTr="00C91E6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RS" w:eastAsia="sr-Latn-CS"/>
              </w:rPr>
              <w:t>(5</w:t>
            </w:r>
            <w:r w:rsidRPr="001A301E">
              <w:rPr>
                <w:rFonts w:eastAsiaTheme="minorEastAsia"/>
                <w:color w:val="000000"/>
                <w:lang w:val="de-DE" w:eastAsia="sr-Latn-CS"/>
              </w:rPr>
              <w:t xml:space="preserve"> </w:t>
            </w:r>
            <w:r w:rsidRPr="001A301E">
              <w:rPr>
                <w:rFonts w:eastAsiaTheme="minorEastAsia"/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1A30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A301E" w:rsidRPr="007A4939" w:rsidTr="00C91E6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01E" w:rsidRPr="001A301E" w:rsidRDefault="001A301E" w:rsidP="001A301E">
            <w:pPr>
              <w:spacing w:line="254" w:lineRule="auto"/>
              <w:jc w:val="center"/>
              <w:rPr>
                <w:rFonts w:eastAsiaTheme="minorEastAsia"/>
                <w:b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A301E" w:rsidRPr="007A4939" w:rsidTr="00C91E6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</w:p>
        </w:tc>
      </w:tr>
      <w:tr w:rsidR="001A301E" w:rsidRPr="007A4939" w:rsidTr="00C91E6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A301E" w:rsidRPr="001A301E" w:rsidTr="00C91E6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01E" w:rsidRPr="001A301E" w:rsidRDefault="001A301E" w:rsidP="001A301E">
            <w:pPr>
              <w:spacing w:line="254" w:lineRule="auto"/>
              <w:rPr>
                <w:rFonts w:eastAsiaTheme="minorEastAsia"/>
                <w:color w:val="000000"/>
                <w:lang w:val="sr-Cyrl-CS" w:eastAsia="sr-Latn-CS"/>
              </w:rPr>
            </w:pPr>
            <w:r w:rsidRPr="001A301E">
              <w:rPr>
                <w:rFonts w:eastAsiaTheme="minorEastAs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  <w:lang w:val="sr-Cyrl-RS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1A301E" w:rsidRPr="001A301E" w:rsidRDefault="001A301E" w:rsidP="001A301E">
      <w:pPr>
        <w:spacing w:line="254" w:lineRule="auto"/>
        <w:rPr>
          <w:rFonts w:eastAsiaTheme="minorEastAsia"/>
        </w:rPr>
      </w:pPr>
    </w:p>
    <w:p w:rsidR="00681659" w:rsidRDefault="00681659"/>
    <w:sectPr w:rsidR="00681659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01E"/>
    <w:rsid w:val="00003406"/>
    <w:rsid w:val="001450FD"/>
    <w:rsid w:val="00145969"/>
    <w:rsid w:val="001A301E"/>
    <w:rsid w:val="003B06C5"/>
    <w:rsid w:val="003B3279"/>
    <w:rsid w:val="00535F38"/>
    <w:rsid w:val="00681659"/>
    <w:rsid w:val="006A0B7C"/>
    <w:rsid w:val="006E05B8"/>
    <w:rsid w:val="00782865"/>
    <w:rsid w:val="00787D26"/>
    <w:rsid w:val="007A4939"/>
    <w:rsid w:val="007D62E7"/>
    <w:rsid w:val="0085677C"/>
    <w:rsid w:val="00AB2058"/>
    <w:rsid w:val="00B32F09"/>
    <w:rsid w:val="00B93A8D"/>
    <w:rsid w:val="00D82D7A"/>
    <w:rsid w:val="00E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7F1A"/>
  <w15:chartTrackingRefBased/>
  <w15:docId w15:val="{446423B9-3631-421C-8A16-D99054BA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2025-07-21T09:09:00Z</dcterms:created>
  <dcterms:modified xsi:type="dcterms:W3CDTF">2025-07-28T07:44:00Z</dcterms:modified>
</cp:coreProperties>
</file>