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E15" w:rsidRDefault="008B0902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530E15">
        <w:tc>
          <w:tcPr>
            <w:tcW w:w="9350" w:type="dxa"/>
            <w:gridSpan w:val="4"/>
          </w:tcPr>
          <w:p w:rsidR="00530E15" w:rsidRDefault="008B0902">
            <w:r>
              <w:t>Предмет: Физика</w:t>
            </w:r>
          </w:p>
        </w:tc>
      </w:tr>
      <w:tr w:rsidR="00530E15">
        <w:tc>
          <w:tcPr>
            <w:tcW w:w="4675" w:type="dxa"/>
            <w:gridSpan w:val="2"/>
          </w:tcPr>
          <w:p w:rsidR="00530E15" w:rsidRDefault="008B0902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530E15" w:rsidRDefault="008B0902">
            <w:pPr>
              <w:jc w:val="both"/>
            </w:pPr>
            <w:r>
              <w:t>Издавач: Дата статус</w:t>
            </w:r>
          </w:p>
        </w:tc>
      </w:tr>
      <w:tr w:rsidR="00530E15">
        <w:tc>
          <w:tcPr>
            <w:tcW w:w="9350" w:type="dxa"/>
            <w:gridSpan w:val="4"/>
          </w:tcPr>
          <w:p w:rsidR="00530E15" w:rsidRDefault="008B0902">
            <w:r>
              <w:t>Наставник:</w:t>
            </w:r>
          </w:p>
        </w:tc>
      </w:tr>
      <w:tr w:rsidR="00530E15">
        <w:tc>
          <w:tcPr>
            <w:tcW w:w="3116" w:type="dxa"/>
          </w:tcPr>
          <w:p w:rsidR="00530E15" w:rsidRDefault="008B0902">
            <w:r>
              <w:t>Час број: 8.</w:t>
            </w:r>
          </w:p>
        </w:tc>
        <w:tc>
          <w:tcPr>
            <w:tcW w:w="3117" w:type="dxa"/>
            <w:gridSpan w:val="2"/>
          </w:tcPr>
          <w:p w:rsidR="00530E15" w:rsidRDefault="008B0902">
            <w:r>
              <w:t xml:space="preserve">Одељење: </w:t>
            </w:r>
          </w:p>
        </w:tc>
        <w:tc>
          <w:tcPr>
            <w:tcW w:w="3117" w:type="dxa"/>
          </w:tcPr>
          <w:p w:rsidR="00530E15" w:rsidRDefault="008B0902">
            <w:r>
              <w:t>Датум:</w:t>
            </w:r>
          </w:p>
        </w:tc>
      </w:tr>
    </w:tbl>
    <w:p w:rsidR="00530E15" w:rsidRDefault="00530E15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530E15" w:rsidRDefault="008B0902">
            <w:pPr>
              <w:jc w:val="center"/>
            </w:pPr>
            <w:r>
              <w:t>КРЕТАЊЕ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530E15" w:rsidRDefault="008B0902">
            <w:pPr>
              <w:jc w:val="center"/>
            </w:pPr>
            <w:r>
              <w:rPr>
                <w:sz w:val="20"/>
                <w:szCs w:val="20"/>
              </w:rPr>
              <w:t>Појмови који описују кретање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530E15" w:rsidRDefault="008B0902">
            <w:pPr>
              <w:jc w:val="center"/>
            </w:pPr>
            <w:r>
              <w:t>обрада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530E15" w:rsidRDefault="00530E15">
            <w:pPr>
              <w:jc w:val="center"/>
              <w:rPr>
                <w:sz w:val="20"/>
                <w:szCs w:val="20"/>
              </w:rPr>
            </w:pP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color w:val="000000"/>
                <w:sz w:val="20"/>
                <w:szCs w:val="20"/>
              </w:rPr>
              <w:t>да ученици усвоје основне појмове из области механичког кретања;</w:t>
            </w: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појам из дужине и времена;</w:t>
            </w: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основне појмове који описују  механичко кретање;</w:t>
            </w: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појам из дужине и времена;</w:t>
            </w: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</w:t>
            </w:r>
            <w:r>
              <w:rPr>
                <w:color w:val="000000"/>
                <w:sz w:val="20"/>
                <w:szCs w:val="20"/>
              </w:rPr>
              <w:t>осматрање и проучавање физичких појава;</w:t>
            </w: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примену знања из физике;</w:t>
            </w:r>
          </w:p>
          <w:p w:rsidR="00530E15" w:rsidRDefault="008B09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активно стицање знања.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530E15" w:rsidRDefault="008B0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530E15" w:rsidRDefault="008B09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механичко кретање, референтно тело,</w:t>
            </w:r>
          </w:p>
          <w:p w:rsidR="00530E15" w:rsidRDefault="008B09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објасни релативност кретања</w:t>
            </w:r>
          </w:p>
          <w:p w:rsidR="00530E15" w:rsidRDefault="008B09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појам дужине и времена, временски тренутак и временски интервал</w:t>
            </w:r>
          </w:p>
          <w:p w:rsidR="00530E15" w:rsidRDefault="008B09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мерне јединице за дужину и време</w:t>
            </w:r>
          </w:p>
          <w:p w:rsidR="00530E15" w:rsidRDefault="008B09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појам путање, пређени пут и материјалну тачку</w:t>
            </w:r>
          </w:p>
          <w:p w:rsidR="00530E15" w:rsidRDefault="00530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530E15" w:rsidRDefault="008B090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</w:t>
            </w:r>
            <w:r w:rsidR="000C0823">
              <w:rPr>
                <w:sz w:val="20"/>
                <w:szCs w:val="20"/>
              </w:rPr>
              <w:t>, групни.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530E15" w:rsidRDefault="008B0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илустративно-демонстративна, метода</w:t>
            </w:r>
            <w:r w:rsidR="00816B35">
              <w:rPr>
                <w:sz w:val="20"/>
                <w:szCs w:val="20"/>
              </w:rPr>
              <w:t xml:space="preserve"> рада</w:t>
            </w:r>
            <w:r>
              <w:rPr>
                <w:sz w:val="20"/>
                <w:szCs w:val="20"/>
              </w:rPr>
              <w:t xml:space="preserve"> са уџбеником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530E15" w:rsidRDefault="008B0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макета аутомобила, лист блока за ликовно, фломастер или оловка, неко физичко тело ( резач, гумица за брисање), кутија од чаја, три пластичне чаше, шило и штоперица, калкулатор</w:t>
            </w:r>
          </w:p>
        </w:tc>
      </w:tr>
      <w:tr w:rsidR="00530E15">
        <w:tc>
          <w:tcPr>
            <w:tcW w:w="2245" w:type="dxa"/>
          </w:tcPr>
          <w:p w:rsidR="00530E15" w:rsidRDefault="008B0902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530E15" w:rsidRDefault="00530E15">
            <w:pPr>
              <w:jc w:val="center"/>
              <w:rPr>
                <w:sz w:val="20"/>
                <w:szCs w:val="20"/>
              </w:rPr>
            </w:pPr>
          </w:p>
          <w:p w:rsidR="00530E15" w:rsidRDefault="008B09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530E15" w:rsidRDefault="008B09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530E15" w:rsidRDefault="008B09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530E15" w:rsidRDefault="008B09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530E15" w:rsidRDefault="008B09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530E15" w:rsidRDefault="00530E15">
            <w:pPr>
              <w:jc w:val="center"/>
              <w:rPr>
                <w:sz w:val="20"/>
                <w:szCs w:val="20"/>
              </w:rPr>
            </w:pPr>
          </w:p>
        </w:tc>
      </w:tr>
    </w:tbl>
    <w:p w:rsidR="00530E15" w:rsidRDefault="00530E15">
      <w:pPr>
        <w:jc w:val="center"/>
      </w:pPr>
    </w:p>
    <w:p w:rsidR="00530E15" w:rsidRDefault="008B0902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30E15">
        <w:tc>
          <w:tcPr>
            <w:tcW w:w="9350" w:type="dxa"/>
          </w:tcPr>
          <w:p w:rsidR="00530E15" w:rsidRDefault="008B0902">
            <w:pPr>
              <w:jc w:val="center"/>
            </w:pPr>
            <w:r>
              <w:t>Уводни део часа ( 10 минута)</w:t>
            </w:r>
          </w:p>
        </w:tc>
      </w:tr>
      <w:tr w:rsidR="00530E15">
        <w:tc>
          <w:tcPr>
            <w:tcW w:w="9350" w:type="dxa"/>
          </w:tcPr>
          <w:p w:rsidR="00530E15" w:rsidRDefault="008B0902">
            <w:pPr>
              <w:jc w:val="both"/>
            </w:pPr>
            <w:r>
              <w:t>У уводном делу часа наставник заједно са ученицима понавља појмове који описују кретање.</w:t>
            </w:r>
          </w:p>
          <w:p w:rsidR="00530E15" w:rsidRDefault="00530E15">
            <w:pPr>
              <w:jc w:val="both"/>
            </w:pPr>
          </w:p>
        </w:tc>
      </w:tr>
    </w:tbl>
    <w:p w:rsidR="00530E15" w:rsidRDefault="00530E15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30E15">
        <w:tc>
          <w:tcPr>
            <w:tcW w:w="9350" w:type="dxa"/>
          </w:tcPr>
          <w:p w:rsidR="00530E15" w:rsidRDefault="008B0902">
            <w:pPr>
              <w:jc w:val="center"/>
            </w:pPr>
            <w:r>
              <w:lastRenderedPageBreak/>
              <w:t>Главни део часа ( 30 минута)</w:t>
            </w:r>
          </w:p>
        </w:tc>
      </w:tr>
      <w:tr w:rsidR="00530E15">
        <w:tc>
          <w:tcPr>
            <w:tcW w:w="9350" w:type="dxa"/>
          </w:tcPr>
          <w:p w:rsidR="00530E15" w:rsidRDefault="008B0902">
            <w:pPr>
              <w:jc w:val="both"/>
            </w:pPr>
            <w:r>
              <w:t xml:space="preserve">Ученици подељени у групе од по тру ученика, реализују демонстрационе огледе који описују појмове које су понављали у уводном делу часа.  </w:t>
            </w:r>
          </w:p>
          <w:p w:rsidR="00530E15" w:rsidRDefault="008B0902">
            <w:pPr>
              <w:jc w:val="both"/>
            </w:pPr>
            <w:r>
              <w:t xml:space="preserve">Након реализације огледа са стране 27. у уџбенику, који се односи на кретање из свакодневног живота ученици излажу своја запажања, наводе примере механичког кретања из свакодневног живота и референтног тела у односу на које посматрају кретање, објашњавају </w:t>
            </w:r>
            <w:r>
              <w:t xml:space="preserve">релативност кретања на примеру из свакодневног живота, одговарају на питања осталих ученика ученика. Наставник запажања и одговоре бележи на табли правећи мапу ума.  </w:t>
            </w:r>
          </w:p>
          <w:p w:rsidR="00530E15" w:rsidRDefault="008B0902">
            <w:pPr>
              <w:jc w:val="both"/>
            </w:pPr>
            <w:r>
              <w:t>Ученици реализују демонстрациони оглед са стране 29. у уџбенику који се односи на дужину.</w:t>
            </w:r>
            <w:r>
              <w:t xml:space="preserve"> Помоћу лењира са милиметарском поделом правилно записују измерене дужине кутије за час. Након раализације демонстрационог огледа ученици излажу своја запажања, дефинишу појам дужине, представник групе записује запажања о физичкој величини, претварају мерн</w:t>
            </w:r>
            <w:r>
              <w:t xml:space="preserve">е јединице за измерене дужине и поступак претварања мерних јединица за дужину представник групе записује на табли а остали ученици у школској свесци. Наставник све време координира радом ученика и усмерава ученике да постављају питања. </w:t>
            </w:r>
          </w:p>
          <w:p w:rsidR="00530E15" w:rsidRDefault="008B0902">
            <w:pPr>
              <w:jc w:val="both"/>
            </w:pPr>
            <w:r>
              <w:t>Уз помоћ наставника</w:t>
            </w:r>
            <w:r>
              <w:t xml:space="preserve"> ученици изводе демонстрациони оглед за време са стране 31. у уџбенику који се односи на физичку величину време. Запажања групе представник записује на табли. Ученици дефинишу време, претварају мерне јединице за време записујући поступак претварања на табл</w:t>
            </w:r>
            <w:r>
              <w:t>и. Наставник све време координира часом.</w:t>
            </w:r>
          </w:p>
          <w:p w:rsidR="00530E15" w:rsidRDefault="008B0902">
            <w:pPr>
              <w:jc w:val="both"/>
            </w:pPr>
            <w:r>
              <w:t>Ученици изводе демонстрациони са стране 33. из уџбеника, који се односи на појмове који описују кретање. Запажања групе представник записује на табли. Ученици дефинишу појмове путање, пређеног пута и материјалне тач</w:t>
            </w:r>
            <w:r>
              <w:t>ке. Наставник наводи ученике да наведу примере поделе кретања према облику путање из свакодневног живота., све време координира часом.</w:t>
            </w:r>
          </w:p>
          <w:p w:rsidR="00530E15" w:rsidRDefault="00530E15">
            <w:pPr>
              <w:jc w:val="both"/>
            </w:pPr>
          </w:p>
          <w:p w:rsidR="00530E15" w:rsidRDefault="00530E15">
            <w:pPr>
              <w:jc w:val="both"/>
            </w:pPr>
          </w:p>
          <w:p w:rsidR="00530E15" w:rsidRDefault="00530E15">
            <w:pPr>
              <w:jc w:val="both"/>
            </w:pPr>
          </w:p>
          <w:p w:rsidR="00530E15" w:rsidRDefault="00530E15">
            <w:pPr>
              <w:jc w:val="both"/>
            </w:pPr>
          </w:p>
        </w:tc>
      </w:tr>
      <w:tr w:rsidR="00530E15">
        <w:tc>
          <w:tcPr>
            <w:tcW w:w="9350" w:type="dxa"/>
          </w:tcPr>
          <w:p w:rsidR="00530E15" w:rsidRDefault="008B0902">
            <w:pPr>
              <w:jc w:val="both"/>
            </w:pPr>
            <w:r>
              <w:t>Завршни део часа ( 5 минута)</w:t>
            </w:r>
          </w:p>
          <w:p w:rsidR="00530E15" w:rsidRDefault="008B0902">
            <w:pPr>
              <w:jc w:val="both"/>
            </w:pPr>
            <w:r>
              <w:t>У завршном делу часа наставник кро</w:t>
            </w:r>
            <w:bookmarkStart w:id="1" w:name="_GoBack"/>
            <w:bookmarkEnd w:id="1"/>
            <w:r>
              <w:t>з питања проверава остварене исходе планиране за овај</w:t>
            </w:r>
            <w:r>
              <w:t xml:space="preserve"> час. </w:t>
            </w:r>
          </w:p>
          <w:p w:rsidR="00530E15" w:rsidRDefault="008B0902">
            <w:pPr>
              <w:jc w:val="both"/>
            </w:pPr>
            <w:r>
              <w:t>Домаћи задатак: Ученици анализирају и илуструју пример кретања из свакодневног живота, наводећи све појмове који описују такво механичко кретање.</w:t>
            </w:r>
          </w:p>
        </w:tc>
      </w:tr>
    </w:tbl>
    <w:p w:rsidR="00530E15" w:rsidRDefault="00530E15">
      <w:pPr>
        <w:jc w:val="center"/>
      </w:pPr>
    </w:p>
    <w:p w:rsidR="00530E15" w:rsidRDefault="00530E15">
      <w:pPr>
        <w:jc w:val="center"/>
      </w:pPr>
    </w:p>
    <w:p w:rsidR="00530E15" w:rsidRDefault="008B0902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30E15">
        <w:trPr>
          <w:trHeight w:val="1520"/>
        </w:trPr>
        <w:tc>
          <w:tcPr>
            <w:tcW w:w="9350" w:type="dxa"/>
          </w:tcPr>
          <w:p w:rsidR="00530E15" w:rsidRDefault="008B0902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</w:t>
            </w:r>
            <w:r>
              <w:t>вазиђене :</w:t>
            </w:r>
          </w:p>
        </w:tc>
      </w:tr>
      <w:tr w:rsidR="00530E15">
        <w:trPr>
          <w:trHeight w:val="1430"/>
        </w:trPr>
        <w:tc>
          <w:tcPr>
            <w:tcW w:w="9350" w:type="dxa"/>
          </w:tcPr>
          <w:p w:rsidR="00530E15" w:rsidRDefault="008B0902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530E15" w:rsidRDefault="00530E15"/>
        </w:tc>
      </w:tr>
      <w:tr w:rsidR="00530E15">
        <w:trPr>
          <w:trHeight w:val="1610"/>
        </w:trPr>
        <w:tc>
          <w:tcPr>
            <w:tcW w:w="9350" w:type="dxa"/>
          </w:tcPr>
          <w:p w:rsidR="00530E15" w:rsidRDefault="008B0902">
            <w:r>
              <w:lastRenderedPageBreak/>
              <w:t>Променио/ла бих:</w:t>
            </w:r>
          </w:p>
        </w:tc>
      </w:tr>
      <w:tr w:rsidR="00530E15">
        <w:trPr>
          <w:trHeight w:val="1790"/>
        </w:trPr>
        <w:tc>
          <w:tcPr>
            <w:tcW w:w="9350" w:type="dxa"/>
          </w:tcPr>
          <w:p w:rsidR="00530E15" w:rsidRDefault="008B0902">
            <w:r>
              <w:t>Општа запажања:</w:t>
            </w:r>
          </w:p>
        </w:tc>
      </w:tr>
    </w:tbl>
    <w:p w:rsidR="00530E15" w:rsidRDefault="00530E15">
      <w:pPr>
        <w:jc w:val="center"/>
      </w:pPr>
    </w:p>
    <w:sectPr w:rsidR="00530E1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62979"/>
    <w:multiLevelType w:val="multilevel"/>
    <w:tmpl w:val="687829D8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A145A5"/>
    <w:multiLevelType w:val="multilevel"/>
    <w:tmpl w:val="F99C9CB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70844FF"/>
    <w:multiLevelType w:val="multilevel"/>
    <w:tmpl w:val="4FCEF43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94C5F27"/>
    <w:multiLevelType w:val="multilevel"/>
    <w:tmpl w:val="40684A6C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9E66F5E"/>
    <w:multiLevelType w:val="multilevel"/>
    <w:tmpl w:val="5DE6D51C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15"/>
    <w:rsid w:val="000C0823"/>
    <w:rsid w:val="00530E15"/>
    <w:rsid w:val="00816B35"/>
    <w:rsid w:val="008B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19923"/>
  <w15:docId w15:val="{D4E03A78-8BC2-4086-A656-D1CCB8EB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4</cp:revision>
  <dcterms:created xsi:type="dcterms:W3CDTF">2024-08-22T18:18:00Z</dcterms:created>
  <dcterms:modified xsi:type="dcterms:W3CDTF">2024-08-22T18:22:00Z</dcterms:modified>
</cp:coreProperties>
</file>