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BB" w:rsidRDefault="002652E4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9844BB">
        <w:tc>
          <w:tcPr>
            <w:tcW w:w="9350" w:type="dxa"/>
            <w:gridSpan w:val="4"/>
          </w:tcPr>
          <w:p w:rsidR="009844BB" w:rsidRDefault="002652E4">
            <w:r>
              <w:t>Предмет: Физика</w:t>
            </w:r>
          </w:p>
        </w:tc>
      </w:tr>
      <w:tr w:rsidR="009844BB">
        <w:tc>
          <w:tcPr>
            <w:tcW w:w="4675" w:type="dxa"/>
            <w:gridSpan w:val="2"/>
          </w:tcPr>
          <w:p w:rsidR="009844BB" w:rsidRDefault="002652E4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9844BB" w:rsidRDefault="002652E4">
            <w:pPr>
              <w:jc w:val="both"/>
            </w:pPr>
            <w:r>
              <w:t>Издавач : Дата статус</w:t>
            </w:r>
          </w:p>
        </w:tc>
      </w:tr>
      <w:tr w:rsidR="009844BB">
        <w:tc>
          <w:tcPr>
            <w:tcW w:w="9350" w:type="dxa"/>
            <w:gridSpan w:val="4"/>
          </w:tcPr>
          <w:p w:rsidR="009844BB" w:rsidRDefault="002652E4">
            <w:r>
              <w:t>Наставник:</w:t>
            </w:r>
          </w:p>
        </w:tc>
      </w:tr>
      <w:tr w:rsidR="009844BB">
        <w:tc>
          <w:tcPr>
            <w:tcW w:w="3116" w:type="dxa"/>
          </w:tcPr>
          <w:p w:rsidR="009844BB" w:rsidRDefault="002652E4">
            <w:r>
              <w:t>Час број: 14.</w:t>
            </w:r>
          </w:p>
        </w:tc>
        <w:tc>
          <w:tcPr>
            <w:tcW w:w="3117" w:type="dxa"/>
            <w:gridSpan w:val="2"/>
          </w:tcPr>
          <w:p w:rsidR="009844BB" w:rsidRDefault="002652E4">
            <w:r>
              <w:t xml:space="preserve">Одељење: </w:t>
            </w:r>
          </w:p>
        </w:tc>
        <w:tc>
          <w:tcPr>
            <w:tcW w:w="3117" w:type="dxa"/>
          </w:tcPr>
          <w:p w:rsidR="009844BB" w:rsidRDefault="002652E4">
            <w:r>
              <w:t>Датум:</w:t>
            </w:r>
          </w:p>
        </w:tc>
      </w:tr>
    </w:tbl>
    <w:p w:rsidR="009844BB" w:rsidRDefault="009844BB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</w:pPr>
            <w:r>
              <w:t>КРЕТАЊЕ</w:t>
            </w: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</w:pPr>
            <w:r>
              <w:rPr>
                <w:sz w:val="20"/>
                <w:szCs w:val="20"/>
              </w:rPr>
              <w:t>Променљиво праволинијско кретање и средња брзина</w:t>
            </w: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</w:pPr>
            <w:r>
              <w:t>обрада</w:t>
            </w: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9844BB" w:rsidRDefault="002652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променљиво праволинијско кретање;</w:t>
            </w:r>
          </w:p>
          <w:p w:rsidR="009844BB" w:rsidRDefault="002652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појма средње брзине;</w:t>
            </w:r>
          </w:p>
          <w:p w:rsidR="009844BB" w:rsidRDefault="002652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9844BB" w:rsidRDefault="002652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9844BB" w:rsidRDefault="00265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</w:t>
            </w:r>
            <w:r>
              <w:rPr>
                <w:color w:val="000000"/>
                <w:sz w:val="20"/>
                <w:szCs w:val="20"/>
              </w:rPr>
              <w:t>тивног стицања знања.</w:t>
            </w:r>
          </w:p>
          <w:p w:rsidR="009844BB" w:rsidRDefault="009844BB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9844BB" w:rsidRDefault="00265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9844BB" w:rsidRDefault="002652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да опише неравномерно кретање, </w:t>
            </w:r>
          </w:p>
          <w:p w:rsidR="009844BB" w:rsidRDefault="002652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напише и примени формулу за средњу брзину</w:t>
            </w:r>
          </w:p>
          <w:p w:rsidR="009844BB" w:rsidRDefault="00984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9844BB" w:rsidRDefault="00984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индивидуални, групни</w:t>
            </w:r>
            <w:bookmarkStart w:id="0" w:name="_GoBack"/>
            <w:bookmarkEnd w:id="0"/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 рада са уџбеником</w:t>
            </w: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9844BB" w:rsidRDefault="0026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калкулатор, табла, маркер (креда)</w:t>
            </w:r>
          </w:p>
        </w:tc>
      </w:tr>
      <w:tr w:rsidR="009844BB">
        <w:tc>
          <w:tcPr>
            <w:tcW w:w="2245" w:type="dxa"/>
          </w:tcPr>
          <w:p w:rsidR="009844BB" w:rsidRDefault="002652E4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9844BB" w:rsidRDefault="009844BB">
            <w:pPr>
              <w:jc w:val="center"/>
              <w:rPr>
                <w:sz w:val="20"/>
                <w:szCs w:val="20"/>
              </w:rPr>
            </w:pPr>
          </w:p>
          <w:p w:rsidR="009844BB" w:rsidRDefault="002652E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9844BB" w:rsidRDefault="002652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9844BB" w:rsidRDefault="002652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9844BB" w:rsidRDefault="002652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9844BB" w:rsidRDefault="002652E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9844BB" w:rsidRDefault="009844BB">
            <w:pPr>
              <w:jc w:val="center"/>
              <w:rPr>
                <w:sz w:val="20"/>
                <w:szCs w:val="20"/>
              </w:rPr>
            </w:pPr>
            <w:bookmarkStart w:id="1" w:name="_gjdgxs" w:colFirst="0" w:colLast="0"/>
            <w:bookmarkEnd w:id="1"/>
          </w:p>
        </w:tc>
      </w:tr>
    </w:tbl>
    <w:p w:rsidR="009844BB" w:rsidRDefault="009844BB">
      <w:pPr>
        <w:jc w:val="center"/>
      </w:pPr>
    </w:p>
    <w:p w:rsidR="009844BB" w:rsidRDefault="002652E4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44BB">
        <w:tc>
          <w:tcPr>
            <w:tcW w:w="9350" w:type="dxa"/>
          </w:tcPr>
          <w:p w:rsidR="009844BB" w:rsidRDefault="002652E4">
            <w:pPr>
              <w:jc w:val="center"/>
            </w:pPr>
            <w:r>
              <w:t>Уводни део часа ( 10 минута)</w:t>
            </w:r>
          </w:p>
        </w:tc>
      </w:tr>
      <w:tr w:rsidR="009844BB">
        <w:tc>
          <w:tcPr>
            <w:tcW w:w="9350" w:type="dxa"/>
          </w:tcPr>
          <w:p w:rsidR="009844BB" w:rsidRDefault="002652E4">
            <w:pPr>
              <w:jc w:val="both"/>
            </w:pPr>
            <w:r>
              <w:t>У уводном делу часа  наставник дели ученике у групе и  поставља проблемски задатак:</w:t>
            </w:r>
          </w:p>
          <w:p w:rsidR="009844BB" w:rsidRDefault="002652E4">
            <w:pPr>
              <w:jc w:val="both"/>
            </w:pPr>
            <w:r>
              <w:t>Тина је ученик шестог разреда једне основне школе. Свакодневно иде у школу истим путем са својом најбољом другарицом Леном. На путу од куће до школе првих 200 m прешла за три минута, онда је 2 минута чекала да се на семафору упали зелено светло. Остатак пу</w:t>
            </w:r>
            <w:r>
              <w:t>та од 500 метара прешла је 10 минута и стигла на врме у школу.Одреди средњу брзину кретања Тине од куће до школе.</w:t>
            </w:r>
          </w:p>
          <w:p w:rsidR="009844BB" w:rsidRDefault="002652E4">
            <w:pPr>
              <w:jc w:val="both"/>
            </w:pPr>
            <w:r>
              <w:t>Анализирајте и илуструјте кретање девојчице на путу од куће до школе.</w:t>
            </w:r>
          </w:p>
          <w:p w:rsidR="009844BB" w:rsidRDefault="009844BB">
            <w:pPr>
              <w:jc w:val="both"/>
            </w:pPr>
          </w:p>
        </w:tc>
      </w:tr>
    </w:tbl>
    <w:p w:rsidR="009844BB" w:rsidRDefault="009844BB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44BB">
        <w:tc>
          <w:tcPr>
            <w:tcW w:w="9350" w:type="dxa"/>
          </w:tcPr>
          <w:p w:rsidR="009844BB" w:rsidRDefault="002652E4">
            <w:pPr>
              <w:jc w:val="center"/>
            </w:pPr>
            <w:r>
              <w:lastRenderedPageBreak/>
              <w:t>Главни део часа ( 30 минута)</w:t>
            </w:r>
          </w:p>
        </w:tc>
      </w:tr>
      <w:tr w:rsidR="009844BB">
        <w:tc>
          <w:tcPr>
            <w:tcW w:w="9350" w:type="dxa"/>
          </w:tcPr>
          <w:p w:rsidR="009844BB" w:rsidRDefault="002652E4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Свака група преставља своја запажања о кретању девојчице. Наставник на табли бележи запажања ученика и заједно са ученицима изводи закључак да се девојчица кретала тако што је мењала брзину кретања.</w:t>
            </w:r>
          </w:p>
          <w:p w:rsidR="009844BB" w:rsidRDefault="002652E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Наставник уводи ученике у појам променљивог кретања, нагл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ашава да је наједноставнији облик таквог кретања променљиво кретање по правој линији, 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променљиво праволинијско кретање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.</w:t>
            </w:r>
          </w:p>
          <w:p w:rsidR="009844BB" w:rsidRDefault="002652E4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Након тога уводи појам 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средње брзине тела.</w:t>
            </w:r>
          </w:p>
          <w:p w:rsidR="009844BB" w:rsidRDefault="002652E4">
            <w:pPr>
              <w:jc w:val="both"/>
            </w:pPr>
            <w:r>
              <w:t>Средња брзина преставља количник укупног пута који је тело прешло и укупног времена кретања т</w:t>
            </w:r>
            <w:r>
              <w:t>ела. Oвде треба узети у обзир и време мировања уколико је тело мировало током тог кретања.</w:t>
            </w:r>
          </w:p>
          <w:p w:rsidR="009844BB" w:rsidRDefault="002652E4">
            <w:pPr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v</m:t>
                </m:r>
                <m:r>
                  <w:rPr>
                    <w:rFonts w:ascii="Cambria Math" w:eastAsia="Cambria Math" w:hAnsi="Cambria Math" w:cs="Cambria Math"/>
                  </w:rPr>
                  <m:t>ₛ</m:t>
                </m:r>
                <m:r>
                  <w:rPr>
                    <w:rFonts w:ascii="Cambria Math" w:eastAsia="Cambria Math" w:hAnsi="Cambria Math" w:cs="Cambria Math"/>
                  </w:rPr>
                  <m:t>ᵣ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  <m:r>
                      <w:rPr>
                        <w:rFonts w:ascii="Cambria Math" w:eastAsia="Cambria Math" w:hAnsi="Cambria Math" w:cs="Cambria Math"/>
                      </w:rPr>
                      <m:t>ᵤ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  <m:r>
                      <w:rPr>
                        <w:rFonts w:ascii="Cambria Math" w:eastAsia="Cambria Math" w:hAnsi="Cambria Math" w:cs="Cambria Math"/>
                      </w:rPr>
                      <m:t>ᵤ</m:t>
                    </m:r>
                  </m:den>
                </m:f>
              </m:oMath>
            </m:oMathPara>
          </w:p>
          <w:p w:rsidR="009844BB" w:rsidRDefault="002652E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Свака група рачуна средњу брзину девојчице из задатка који је наставник поставио на почетку часа.</w:t>
            </w:r>
          </w:p>
          <w:p w:rsidR="009844BB" w:rsidRDefault="002652E4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Наставник наводи ученика на закључак да је укупан пређени пут девојчице збир свих пређених путева које је девојчица прешла током кретања, а да се за укупно време кретања узимају сва времена које је девојчица провела током кретања укључујући време док је че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кала друга.</w:t>
            </w:r>
          </w:p>
          <w:p w:rsidR="009844BB" w:rsidRDefault="002652E4">
            <w:pPr>
              <w:jc w:val="both"/>
            </w:pPr>
            <w:r>
              <w:t>Ученици у опквиру групе, обрађују податке, међусобно комуницирају и решавају проблемски задатака.</w:t>
            </w:r>
          </w:p>
          <w:p w:rsidR="009844BB" w:rsidRDefault="002652E4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t>Наставник надлгеда рад група, води рачуна да су сви чланову група активни и проверава тачност урађеног задатка у оквиру сваке групе.</w:t>
            </w:r>
          </w:p>
        </w:tc>
      </w:tr>
      <w:tr w:rsidR="009844BB">
        <w:tc>
          <w:tcPr>
            <w:tcW w:w="9350" w:type="dxa"/>
          </w:tcPr>
          <w:p w:rsidR="009844BB" w:rsidRDefault="002652E4">
            <w:pPr>
              <w:jc w:val="both"/>
            </w:pPr>
            <w:r>
              <w:t xml:space="preserve">Завршни део </w:t>
            </w:r>
            <w:r>
              <w:t>часа ( 5 минута)</w:t>
            </w:r>
          </w:p>
          <w:p w:rsidR="009844BB" w:rsidRDefault="002652E4">
            <w:pPr>
              <w:jc w:val="both"/>
            </w:pPr>
            <w:r>
              <w:t>У завршном делу часа наставник са ученицима коментарише њихов пут од куће до школе. Домаћи задатак : задатак бр. 9 на страни 24. из збирке задатака.</w:t>
            </w:r>
          </w:p>
        </w:tc>
      </w:tr>
    </w:tbl>
    <w:p w:rsidR="009844BB" w:rsidRDefault="009844BB">
      <w:pPr>
        <w:jc w:val="center"/>
      </w:pPr>
    </w:p>
    <w:p w:rsidR="009844BB" w:rsidRDefault="009844BB">
      <w:pPr>
        <w:jc w:val="center"/>
      </w:pPr>
    </w:p>
    <w:p w:rsidR="009844BB" w:rsidRDefault="002652E4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44BB">
        <w:trPr>
          <w:trHeight w:val="1520"/>
        </w:trPr>
        <w:tc>
          <w:tcPr>
            <w:tcW w:w="9350" w:type="dxa"/>
          </w:tcPr>
          <w:p w:rsidR="009844BB" w:rsidRDefault="002652E4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сам су превазиђене :</w:t>
            </w:r>
          </w:p>
        </w:tc>
      </w:tr>
      <w:tr w:rsidR="009844BB">
        <w:trPr>
          <w:trHeight w:val="1430"/>
        </w:trPr>
        <w:tc>
          <w:tcPr>
            <w:tcW w:w="9350" w:type="dxa"/>
          </w:tcPr>
          <w:p w:rsidR="009844BB" w:rsidRDefault="002652E4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9844BB" w:rsidRDefault="009844BB"/>
        </w:tc>
      </w:tr>
      <w:tr w:rsidR="009844BB">
        <w:trPr>
          <w:trHeight w:val="1610"/>
        </w:trPr>
        <w:tc>
          <w:tcPr>
            <w:tcW w:w="9350" w:type="dxa"/>
          </w:tcPr>
          <w:p w:rsidR="009844BB" w:rsidRDefault="002652E4">
            <w:r>
              <w:t>Променио/ла бих:</w:t>
            </w:r>
          </w:p>
        </w:tc>
      </w:tr>
      <w:tr w:rsidR="009844BB">
        <w:trPr>
          <w:trHeight w:val="1790"/>
        </w:trPr>
        <w:tc>
          <w:tcPr>
            <w:tcW w:w="9350" w:type="dxa"/>
          </w:tcPr>
          <w:p w:rsidR="009844BB" w:rsidRDefault="002652E4">
            <w:r>
              <w:lastRenderedPageBreak/>
              <w:t>Општа запажања:</w:t>
            </w:r>
          </w:p>
        </w:tc>
      </w:tr>
    </w:tbl>
    <w:p w:rsidR="009844BB" w:rsidRDefault="009844BB"/>
    <w:p w:rsidR="009844BB" w:rsidRDefault="009844BB">
      <w:pPr>
        <w:jc w:val="center"/>
      </w:pPr>
    </w:p>
    <w:p w:rsidR="009844BB" w:rsidRDefault="009844BB">
      <w:pPr>
        <w:jc w:val="center"/>
      </w:pPr>
    </w:p>
    <w:p w:rsidR="009844BB" w:rsidRDefault="009844BB"/>
    <w:p w:rsidR="009844BB" w:rsidRDefault="009844BB"/>
    <w:p w:rsidR="009844BB" w:rsidRDefault="009844BB"/>
    <w:sectPr w:rsidR="009844B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2D8B"/>
    <w:multiLevelType w:val="multilevel"/>
    <w:tmpl w:val="E006D432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9B7B58"/>
    <w:multiLevelType w:val="multilevel"/>
    <w:tmpl w:val="6C209F0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CF3A26"/>
    <w:multiLevelType w:val="multilevel"/>
    <w:tmpl w:val="0DDACA1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27B5DD1"/>
    <w:multiLevelType w:val="multilevel"/>
    <w:tmpl w:val="A9C0A5C2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483476"/>
    <w:multiLevelType w:val="multilevel"/>
    <w:tmpl w:val="9F9CCC0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BB"/>
    <w:rsid w:val="002652E4"/>
    <w:rsid w:val="0098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38393"/>
  <w15:docId w15:val="{DE55EF5C-C811-4669-B553-83BE2D1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2024-08-22T18:26:00Z</dcterms:created>
  <dcterms:modified xsi:type="dcterms:W3CDTF">2024-08-22T18:28:00Z</dcterms:modified>
</cp:coreProperties>
</file>