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C100DE">
              <w:rPr>
                <w:lang w:val="sr-Cyrl-RS"/>
              </w:rPr>
              <w:t>4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6E1243" w:rsidP="004F6A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8D4746" w:rsidRPr="00FF16AA" w:rsidRDefault="00FF16AA" w:rsidP="00FF16AA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6E1243" w:rsidRPr="00FF16AA">
              <w:rPr>
                <w:rFonts w:cstheme="minorHAnsi"/>
                <w:sz w:val="20"/>
                <w:szCs w:val="20"/>
                <w:lang w:val="sr-Cyrl-RS"/>
              </w:rPr>
              <w:t>а ученици науче шта су то колинеарне силе и како се слажу колинеарне силе.</w:t>
            </w:r>
          </w:p>
          <w:p w:rsidR="00FF16AA" w:rsidRDefault="00FF16AA" w:rsidP="00FF16AA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FF16AA" w:rsidRDefault="00FF16AA" w:rsidP="00FF16AA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FF16AA" w:rsidRPr="00A51A37" w:rsidRDefault="00FF16AA" w:rsidP="00FF16A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FF16AA" w:rsidRPr="006E1243" w:rsidRDefault="00FF16AA" w:rsidP="006E124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8D4746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:rsidR="008D4746" w:rsidRPr="006E1243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векторска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</w:p>
          <w:p w:rsidR="006E1243" w:rsidRPr="008B086B" w:rsidRDefault="006E1243" w:rsidP="008D4746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слажу колинеарне силе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E566BE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E566BE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  <w:r>
              <w:rPr>
                <w:spacing w:val="-6"/>
                <w:sz w:val="20"/>
                <w:szCs w:val="20"/>
                <w:lang w:val="sr-Cyrl-CS"/>
              </w:rPr>
              <w:t>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8213B1" w:rsidRDefault="0069135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r w:rsidR="006E1243">
              <w:rPr>
                <w:sz w:val="20"/>
                <w:szCs w:val="20"/>
                <w:lang w:val="sr-Cyrl-RS"/>
              </w:rPr>
              <w:t>п</w:t>
            </w:r>
            <w:proofErr w:type="spellStart"/>
            <w:r w:rsidR="006E1243" w:rsidRPr="006E1243">
              <w:rPr>
                <w:sz w:val="20"/>
                <w:szCs w:val="20"/>
              </w:rPr>
              <w:t>разна</w:t>
            </w:r>
            <w:proofErr w:type="spellEnd"/>
            <w:r w:rsidR="006E1243" w:rsidRPr="006E1243">
              <w:rPr>
                <w:sz w:val="20"/>
                <w:szCs w:val="20"/>
              </w:rPr>
              <w:t xml:space="preserve"> </w:t>
            </w:r>
            <w:r w:rsidR="006E1243">
              <w:rPr>
                <w:sz w:val="20"/>
                <w:szCs w:val="20"/>
                <w:lang w:val="sr-Cyrl-RS"/>
              </w:rPr>
              <w:t xml:space="preserve">картонска </w:t>
            </w:r>
            <w:proofErr w:type="spellStart"/>
            <w:r w:rsidR="006E1243" w:rsidRPr="006E1243">
              <w:rPr>
                <w:sz w:val="20"/>
                <w:szCs w:val="20"/>
              </w:rPr>
              <w:t>кутија</w:t>
            </w:r>
            <w:proofErr w:type="spellEnd"/>
            <w:r w:rsidR="006E1243" w:rsidRPr="006E1243">
              <w:rPr>
                <w:sz w:val="20"/>
                <w:szCs w:val="20"/>
              </w:rPr>
              <w:t xml:space="preserve">, </w:t>
            </w:r>
            <w:proofErr w:type="spellStart"/>
            <w:r w:rsidR="006E1243" w:rsidRPr="006E1243">
              <w:rPr>
                <w:sz w:val="20"/>
                <w:szCs w:val="20"/>
              </w:rPr>
              <w:t>неколико</w:t>
            </w:r>
            <w:proofErr w:type="spellEnd"/>
            <w:r w:rsidR="006E1243" w:rsidRPr="006E1243">
              <w:rPr>
                <w:sz w:val="20"/>
                <w:szCs w:val="20"/>
              </w:rPr>
              <w:t xml:space="preserve"> </w:t>
            </w:r>
            <w:proofErr w:type="spellStart"/>
            <w:r w:rsidR="006E1243" w:rsidRPr="006E1243">
              <w:rPr>
                <w:sz w:val="20"/>
                <w:szCs w:val="20"/>
              </w:rPr>
              <w:t>књига</w:t>
            </w:r>
            <w:proofErr w:type="spellEnd"/>
            <w:r w:rsidR="006E1243" w:rsidRPr="006E1243">
              <w:rPr>
                <w:sz w:val="20"/>
                <w:szCs w:val="20"/>
              </w:rPr>
              <w:t>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2E7903" w:rsidRDefault="00691356" w:rsidP="00CA06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и упућује ученике на демонстрациони</w:t>
            </w:r>
            <w:r w:rsidR="006E1243">
              <w:rPr>
                <w:lang w:val="sr-Cyrl-RS"/>
              </w:rPr>
              <w:t xml:space="preserve"> оглед  из уџбеника на страни 64</w:t>
            </w:r>
            <w:r>
              <w:rPr>
                <w:lang w:val="sr-Cyrl-RS"/>
              </w:rPr>
              <w:t>. Ученици реализују оглед, током реализације демо</w:t>
            </w:r>
            <w:r w:rsidR="00FF16AA">
              <w:rPr>
                <w:lang w:val="sr-Cyrl-RS"/>
              </w:rPr>
              <w:t>нс</w:t>
            </w:r>
            <w:r>
              <w:rPr>
                <w:lang w:val="sr-Cyrl-RS"/>
              </w:rPr>
              <w:t>трационог огледа наставник надгледа рад ученика и одговара на питања ученика. Ученици у школским с</w:t>
            </w:r>
            <w:r w:rsidR="00CA06B9">
              <w:rPr>
                <w:lang w:val="sr-Cyrl-RS"/>
              </w:rPr>
              <w:t xml:space="preserve">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F73F17" w:rsidRDefault="00F73F17" w:rsidP="00F73F17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9C6353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</w:t>
            </w:r>
            <w:r w:rsidR="009C6353">
              <w:rPr>
                <w:lang w:val="sr-Cyrl-RS"/>
              </w:rPr>
              <w:t>ик та запажања бележи на табли док остали у</w:t>
            </w:r>
            <w:r w:rsidRPr="0070033D">
              <w:rPr>
                <w:lang w:val="sr-Cyrl-RS"/>
              </w:rPr>
              <w:t>ченици коментаришу рад групе која излаже, постављају питања и бележе одговоре.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  <w:p w:rsidR="00144779" w:rsidRPr="006E1243" w:rsidRDefault="00691356" w:rsidP="0014477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</w:t>
            </w:r>
            <w:r w:rsidR="00C8658E">
              <w:rPr>
                <w:lang w:val="sr-Cyrl-RS"/>
              </w:rPr>
              <w:t>вник уводи ученике у појам</w:t>
            </w:r>
            <w:r w:rsidR="006E1243">
              <w:rPr>
                <w:lang w:val="sr-Cyrl-RS"/>
              </w:rPr>
              <w:t xml:space="preserve"> колинеарних сила</w:t>
            </w:r>
            <w:r w:rsidR="00C8658E">
              <w:rPr>
                <w:lang w:val="sr-Cyrl-RS"/>
              </w:rPr>
              <w:t>:</w:t>
            </w:r>
          </w:p>
          <w:p w:rsidR="006E1243" w:rsidRDefault="006E1243" w:rsidP="006E1243"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 у </w:t>
            </w:r>
            <w:proofErr w:type="spellStart"/>
            <w:r>
              <w:t>исто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деловати</w:t>
            </w:r>
            <w:proofErr w:type="spellEnd"/>
            <w:r>
              <w:t xml:space="preserve"> </w:t>
            </w:r>
            <w:proofErr w:type="spellStart"/>
            <w:r>
              <w:t>различите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. </w:t>
            </w:r>
            <w:proofErr w:type="spellStart"/>
            <w:r>
              <w:t>Уколико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те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 </w:t>
            </w:r>
            <w:proofErr w:type="spellStart"/>
            <w:r>
              <w:t>истог</w:t>
            </w:r>
            <w:proofErr w:type="spellEnd"/>
            <w:r>
              <w:t xml:space="preserve"> </w:t>
            </w:r>
            <w:proofErr w:type="spellStart"/>
            <w:r>
              <w:t>правца</w:t>
            </w:r>
            <w:proofErr w:type="spellEnd"/>
            <w:r>
              <w:t xml:space="preserve"> </w:t>
            </w:r>
            <w:proofErr w:type="spellStart"/>
            <w:r>
              <w:t>оне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називају</w:t>
            </w:r>
            <w:proofErr w:type="spellEnd"/>
            <w:r>
              <w:t xml:space="preserve"> </w:t>
            </w:r>
            <w:proofErr w:type="spellStart"/>
            <w:r w:rsidRPr="0000310E">
              <w:rPr>
                <w:b/>
              </w:rPr>
              <w:t>колинеарне</w:t>
            </w:r>
            <w:proofErr w:type="spellEnd"/>
            <w:r w:rsidRPr="0000310E">
              <w:rPr>
                <w:b/>
              </w:rPr>
              <w:t xml:space="preserve"> </w:t>
            </w:r>
            <w:proofErr w:type="spellStart"/>
            <w:r w:rsidRPr="0000310E">
              <w:rPr>
                <w:b/>
              </w:rPr>
              <w:t>силе</w:t>
            </w:r>
            <w:proofErr w:type="spellEnd"/>
            <w:r>
              <w:t xml:space="preserve">. </w:t>
            </w:r>
          </w:p>
          <w:p w:rsidR="006E1243" w:rsidRDefault="006E1243" w:rsidP="006E1243">
            <w:pPr>
              <w:jc w:val="both"/>
              <w:rPr>
                <w:b/>
              </w:rPr>
            </w:pPr>
            <w:proofErr w:type="spellStart"/>
            <w:r w:rsidRPr="0000310E">
              <w:t>Уколико</w:t>
            </w:r>
            <w:proofErr w:type="spellEnd"/>
            <w:r w:rsidRPr="0000310E">
              <w:t xml:space="preserve"> </w:t>
            </w:r>
            <w:proofErr w:type="spellStart"/>
            <w:r w:rsidRPr="0000310E">
              <w:t>више</w:t>
            </w:r>
            <w:proofErr w:type="spellEnd"/>
            <w:r w:rsidRPr="0000310E">
              <w:t xml:space="preserve"> </w:t>
            </w:r>
            <w:proofErr w:type="spellStart"/>
            <w:r w:rsidRPr="0000310E">
              <w:t>с</w:t>
            </w:r>
            <w:r>
              <w:t>ила</w:t>
            </w:r>
            <w:proofErr w:type="spellEnd"/>
            <w:r>
              <w:t xml:space="preserve"> </w:t>
            </w:r>
            <w:proofErr w:type="spellStart"/>
            <w:r>
              <w:t>истог</w:t>
            </w:r>
            <w:proofErr w:type="spellEnd"/>
            <w:r>
              <w:t xml:space="preserve"> </w:t>
            </w:r>
            <w:proofErr w:type="spellStart"/>
            <w:r>
              <w:t>правца</w:t>
            </w:r>
            <w:proofErr w:type="spellEnd"/>
            <w:r>
              <w:t xml:space="preserve"> </w:t>
            </w:r>
            <w:proofErr w:type="spellStart"/>
            <w:r>
              <w:t>делује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, </w:t>
            </w:r>
            <w:proofErr w:type="spellStart"/>
            <w:r>
              <w:t>њихово</w:t>
            </w:r>
            <w:proofErr w:type="spellEnd"/>
            <w:r>
              <w:t xml:space="preserve"> </w:t>
            </w:r>
            <w:proofErr w:type="spellStart"/>
            <w:r>
              <w:t>деловање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замени</w:t>
            </w:r>
            <w:proofErr w:type="spellEnd"/>
            <w:r>
              <w:t xml:space="preserve"> </w:t>
            </w:r>
            <w:proofErr w:type="spellStart"/>
            <w:r>
              <w:t>једном</w:t>
            </w:r>
            <w:proofErr w:type="spellEnd"/>
            <w:r>
              <w:t xml:space="preserve"> </w:t>
            </w:r>
            <w:proofErr w:type="spellStart"/>
            <w:r>
              <w:t>силом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 w:rsidRPr="00A63356">
              <w:rPr>
                <w:b/>
              </w:rPr>
              <w:t>резултујућа</w:t>
            </w:r>
            <w:proofErr w:type="spellEnd"/>
            <w:r w:rsidRPr="00A63356">
              <w:rPr>
                <w:b/>
              </w:rPr>
              <w:t xml:space="preserve"> </w:t>
            </w:r>
            <w:proofErr w:type="spellStart"/>
            <w:r w:rsidRPr="00A63356">
              <w:rPr>
                <w:b/>
              </w:rPr>
              <w:t>сила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t>Вектор</w:t>
            </w:r>
            <w:proofErr w:type="spellEnd"/>
            <w:r>
              <w:t xml:space="preserve"> </w:t>
            </w:r>
            <w:proofErr w:type="spellStart"/>
            <w:r>
              <w:t>резултујуће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добија</w:t>
            </w:r>
            <w:proofErr w:type="spellEnd"/>
            <w:r>
              <w:t xml:space="preserve"> </w:t>
            </w:r>
            <w:proofErr w:type="spellStart"/>
            <w:r>
              <w:t>правилом</w:t>
            </w:r>
            <w:proofErr w:type="spellEnd"/>
            <w:r>
              <w:t xml:space="preserve"> </w:t>
            </w:r>
            <w:proofErr w:type="spellStart"/>
            <w:r>
              <w:t>надовезивања</w:t>
            </w:r>
            <w:proofErr w:type="spellEnd"/>
            <w:r>
              <w:t xml:space="preserve">, </w:t>
            </w:r>
            <w:proofErr w:type="spellStart"/>
            <w:r>
              <w:t>односно</w:t>
            </w:r>
            <w:proofErr w:type="spellEnd"/>
            <w:r>
              <w:t xml:space="preserve"> </w:t>
            </w:r>
            <w:proofErr w:type="spellStart"/>
            <w:r w:rsidRPr="00D47E02">
              <w:rPr>
                <w:b/>
              </w:rPr>
              <w:t>слагања</w:t>
            </w:r>
            <w:proofErr w:type="spellEnd"/>
            <w:r w:rsidRPr="00D47E02">
              <w:rPr>
                <w:b/>
              </w:rPr>
              <w:t xml:space="preserve"> </w:t>
            </w:r>
            <w:proofErr w:type="spellStart"/>
            <w:r w:rsidRPr="00D47E02">
              <w:rPr>
                <w:b/>
              </w:rPr>
              <w:t>сила</w:t>
            </w:r>
            <w:proofErr w:type="spellEnd"/>
            <w:r>
              <w:rPr>
                <w:b/>
              </w:rPr>
              <w:t xml:space="preserve">. </w:t>
            </w:r>
          </w:p>
          <w:p w:rsidR="006E1243" w:rsidRDefault="0082447E" w:rsidP="006E124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да кроз примере из свакодневног живота </w:t>
            </w:r>
            <w:r w:rsidR="00265315">
              <w:rPr>
                <w:lang w:val="sr-Cyrl-RS"/>
              </w:rPr>
              <w:t>наведу примере колинеарних сила и на тим примерима објашњава ученицима како се добија вектор резултујуће силе.</w:t>
            </w:r>
          </w:p>
          <w:p w:rsidR="008D4746" w:rsidRPr="00D60D5F" w:rsidRDefault="008D4746" w:rsidP="006E1243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9350" w:type="dxa"/>
          </w:tcPr>
          <w:p w:rsidR="000534C3" w:rsidRPr="00131B6A" w:rsidRDefault="00D271CF" w:rsidP="00F73F17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131B6A">
              <w:rPr>
                <w:rFonts w:cstheme="minorHAnsi"/>
                <w:lang w:val="sr-Cyrl-RS"/>
              </w:rPr>
              <w:t>На примерима</w:t>
            </w:r>
            <w:r w:rsidR="0082447E" w:rsidRPr="00131B6A">
              <w:rPr>
                <w:rFonts w:cstheme="minorHAnsi"/>
                <w:lang w:val="sr-Cyrl-RS"/>
              </w:rPr>
              <w:t xml:space="preserve"> деловања колинеарних сила</w:t>
            </w:r>
            <w:r w:rsidR="00131B6A">
              <w:rPr>
                <w:rFonts w:cstheme="minorHAnsi"/>
                <w:lang w:val="sr-Cyrl-RS"/>
              </w:rPr>
              <w:t>,</w:t>
            </w:r>
            <w:r w:rsidRPr="00131B6A">
              <w:rPr>
                <w:rFonts w:cstheme="minorHAnsi"/>
                <w:lang w:val="sr-Cyrl-RS"/>
              </w:rPr>
              <w:t xml:space="preserve"> произвољних интезитета</w:t>
            </w:r>
            <w:r w:rsidR="00131B6A">
              <w:rPr>
                <w:rFonts w:cstheme="minorHAnsi"/>
                <w:lang w:val="sr-Cyrl-RS"/>
              </w:rPr>
              <w:t xml:space="preserve">, на тело </w:t>
            </w:r>
            <w:r w:rsidR="0082447E" w:rsidRPr="00131B6A">
              <w:rPr>
                <w:rFonts w:cstheme="minorHAnsi"/>
                <w:lang w:val="sr-Cyrl-RS"/>
              </w:rPr>
              <w:t xml:space="preserve"> проверити оствареност планираних исхода.</w:t>
            </w:r>
          </w:p>
          <w:p w:rsidR="004C2A1F" w:rsidRPr="000534C3" w:rsidRDefault="004C2A1F" w:rsidP="00F73F17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 w:rsidRPr="00131B6A">
              <w:rPr>
                <w:rFonts w:cstheme="minorHAnsi"/>
                <w:lang w:val="sr-Cyrl-RS"/>
              </w:rPr>
              <w:t>Домаћи задатак : Задатак 5,6 из збирке задатака на страни 35.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012D35" w:rsidRDefault="00012D35" w:rsidP="00012D35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12D35" w:rsidTr="00477463">
        <w:trPr>
          <w:trHeight w:val="1520"/>
        </w:trPr>
        <w:tc>
          <w:tcPr>
            <w:tcW w:w="9350" w:type="dxa"/>
          </w:tcPr>
          <w:p w:rsidR="00012D35" w:rsidRPr="001C4AE2" w:rsidRDefault="00012D35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12D35" w:rsidTr="00477463">
        <w:trPr>
          <w:trHeight w:val="1430"/>
        </w:trPr>
        <w:tc>
          <w:tcPr>
            <w:tcW w:w="9350" w:type="dxa"/>
          </w:tcPr>
          <w:p w:rsidR="00012D35" w:rsidRPr="001C4AE2" w:rsidRDefault="00012D35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12D35" w:rsidRDefault="00012D35" w:rsidP="00477463">
            <w:pPr>
              <w:rPr>
                <w:lang w:val="sr-Cyrl-RS"/>
              </w:rPr>
            </w:pPr>
          </w:p>
        </w:tc>
      </w:tr>
      <w:tr w:rsidR="00012D35" w:rsidTr="00477463">
        <w:trPr>
          <w:trHeight w:val="1610"/>
        </w:trPr>
        <w:tc>
          <w:tcPr>
            <w:tcW w:w="9350" w:type="dxa"/>
          </w:tcPr>
          <w:p w:rsidR="00012D35" w:rsidRDefault="00012D35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12D35" w:rsidTr="00477463">
        <w:trPr>
          <w:trHeight w:val="1790"/>
        </w:trPr>
        <w:tc>
          <w:tcPr>
            <w:tcW w:w="9350" w:type="dxa"/>
          </w:tcPr>
          <w:p w:rsidR="00012D35" w:rsidRDefault="00012D35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Pr="007E0C98" w:rsidRDefault="008D4746" w:rsidP="008D4746">
      <w:pPr>
        <w:jc w:val="center"/>
        <w:rPr>
          <w:lang w:val="sr-Cyrl-RS"/>
        </w:rPr>
      </w:pPr>
    </w:p>
    <w:p w:rsidR="008D4746" w:rsidRDefault="008D4746" w:rsidP="008D4746"/>
    <w:p w:rsidR="008D4746" w:rsidRDefault="008D4746" w:rsidP="008D4746"/>
    <w:p w:rsidR="008D4746" w:rsidRDefault="008D4746" w:rsidP="008D4746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706AB"/>
    <w:multiLevelType w:val="hybridMultilevel"/>
    <w:tmpl w:val="8E5E1CD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12D35"/>
    <w:rsid w:val="000534C3"/>
    <w:rsid w:val="00131B6A"/>
    <w:rsid w:val="00144779"/>
    <w:rsid w:val="00265315"/>
    <w:rsid w:val="003A5B55"/>
    <w:rsid w:val="00493450"/>
    <w:rsid w:val="004C2A1F"/>
    <w:rsid w:val="005F3AEB"/>
    <w:rsid w:val="00691356"/>
    <w:rsid w:val="006D13C4"/>
    <w:rsid w:val="006E1243"/>
    <w:rsid w:val="00733E38"/>
    <w:rsid w:val="0082447E"/>
    <w:rsid w:val="008D4746"/>
    <w:rsid w:val="009C6353"/>
    <w:rsid w:val="00C100DE"/>
    <w:rsid w:val="00C8658E"/>
    <w:rsid w:val="00CA06B9"/>
    <w:rsid w:val="00D271CF"/>
    <w:rsid w:val="00E566BE"/>
    <w:rsid w:val="00F73F17"/>
    <w:rsid w:val="00FF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6CFB6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17</cp:revision>
  <dcterms:created xsi:type="dcterms:W3CDTF">2024-07-14T21:19:00Z</dcterms:created>
  <dcterms:modified xsi:type="dcterms:W3CDTF">2024-08-22T18:53:00Z</dcterms:modified>
</cp:coreProperties>
</file>