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16759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21218E13" w14:textId="77777777" w:rsidTr="005A6A07">
        <w:tc>
          <w:tcPr>
            <w:tcW w:w="3595" w:type="dxa"/>
          </w:tcPr>
          <w:p w14:paraId="4FF6AD3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4560797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</w:t>
            </w:r>
          </w:p>
        </w:tc>
      </w:tr>
      <w:tr w:rsidR="007952A2" w:rsidRPr="00520DCF" w14:paraId="6560D4D7" w14:textId="77777777" w:rsidTr="005A6A07">
        <w:tc>
          <w:tcPr>
            <w:tcW w:w="3595" w:type="dxa"/>
          </w:tcPr>
          <w:p w14:paraId="1F54245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4ACAE931" w14:textId="5A47C0A1" w:rsidR="007952A2" w:rsidRPr="000C5151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bdr w:val="none" w:sz="0" w:space="0" w:color="auto" w:frame="1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Ренесанса: Основне карактеристике уметности ренесансе</w:t>
            </w:r>
          </w:p>
        </w:tc>
      </w:tr>
      <w:tr w:rsidR="007952A2" w:rsidRPr="00520DCF" w14:paraId="42C607F0" w14:textId="77777777" w:rsidTr="005A6A07">
        <w:tc>
          <w:tcPr>
            <w:tcW w:w="3595" w:type="dxa"/>
          </w:tcPr>
          <w:p w14:paraId="4ED2265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6F163A43" w14:textId="77777777" w:rsidR="007952A2" w:rsidRPr="00520DCF" w:rsidRDefault="007952A2" w:rsidP="000C5151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Упознавање друштвено-историјског контекста развоја ренесансне уметности и основних одлика музике ренесансе са акцентом на развоју вишегласја</w:t>
            </w:r>
          </w:p>
        </w:tc>
      </w:tr>
      <w:tr w:rsidR="007952A2" w:rsidRPr="00520DCF" w14:paraId="2A402571" w14:textId="77777777" w:rsidTr="005A6A07">
        <w:tc>
          <w:tcPr>
            <w:tcW w:w="3595" w:type="dxa"/>
          </w:tcPr>
          <w:p w14:paraId="422B55B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1384D515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9EF3A8D" w14:textId="77777777" w:rsidR="007952A2" w:rsidRPr="00520DCF" w:rsidRDefault="007952A2" w:rsidP="000C5151">
            <w:pPr>
              <w:pStyle w:val="Standard"/>
              <w:numPr>
                <w:ilvl w:val="0"/>
                <w:numId w:val="65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Повеже своја знања из различитих области, разуме хронологију појава;</w:t>
            </w:r>
          </w:p>
          <w:p w14:paraId="19A62EB5" w14:textId="77777777" w:rsidR="007952A2" w:rsidRPr="00520DCF" w:rsidRDefault="007952A2" w:rsidP="000C5151">
            <w:pPr>
              <w:pStyle w:val="Standard"/>
              <w:numPr>
                <w:ilvl w:val="0"/>
                <w:numId w:val="65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значај античког узора и новог односа према природи за ренесансне уметнике</w:t>
            </w:r>
          </w:p>
          <w:p w14:paraId="175A966B" w14:textId="77777777" w:rsidR="007952A2" w:rsidRPr="00520DCF" w:rsidRDefault="007952A2" w:rsidP="000C5151">
            <w:pPr>
              <w:pStyle w:val="Standard"/>
              <w:numPr>
                <w:ilvl w:val="0"/>
                <w:numId w:val="65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Развликује појмове вишегласје и полифонија, као и полифонија и хомофонија</w:t>
            </w:r>
          </w:p>
          <w:p w14:paraId="09495759" w14:textId="77777777" w:rsidR="007952A2" w:rsidRPr="00520DCF" w:rsidRDefault="007952A2" w:rsidP="000C5151">
            <w:pPr>
              <w:pStyle w:val="Standard"/>
              <w:numPr>
                <w:ilvl w:val="0"/>
                <w:numId w:val="65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типичне ренесансне форме: мису, мотет и мадригал</w:t>
            </w:r>
          </w:p>
          <w:p w14:paraId="5DA8A7F4" w14:textId="77777777" w:rsidR="007952A2" w:rsidRPr="00520DCF" w:rsidRDefault="007952A2" w:rsidP="000C5151">
            <w:pPr>
              <w:pStyle w:val="Standard"/>
              <w:numPr>
                <w:ilvl w:val="0"/>
                <w:numId w:val="65"/>
              </w:numPr>
              <w:spacing w:after="0" w:line="276" w:lineRule="auto"/>
              <w:ind w:left="430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стваралаштво Џон Данстабла</w:t>
            </w:r>
          </w:p>
        </w:tc>
      </w:tr>
      <w:tr w:rsidR="007952A2" w:rsidRPr="00520DCF" w14:paraId="71157A57" w14:textId="77777777" w:rsidTr="005A6A07">
        <w:tc>
          <w:tcPr>
            <w:tcW w:w="3595" w:type="dxa"/>
          </w:tcPr>
          <w:p w14:paraId="79E925C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005C542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7952A2" w:rsidRPr="00520DCF" w14:paraId="7B7479BA" w14:textId="77777777" w:rsidTr="005A6A07">
        <w:tc>
          <w:tcPr>
            <w:tcW w:w="3595" w:type="dxa"/>
          </w:tcPr>
          <w:p w14:paraId="6003467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78B2B91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89–93</w:t>
            </w:r>
          </w:p>
        </w:tc>
      </w:tr>
      <w:tr w:rsidR="007952A2" w:rsidRPr="00520DCF" w14:paraId="0C61E207" w14:textId="77777777" w:rsidTr="005A6A07">
        <w:tc>
          <w:tcPr>
            <w:tcW w:w="3595" w:type="dxa"/>
          </w:tcPr>
          <w:p w14:paraId="3E6EDFD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3E8EEE89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7952A2" w:rsidRPr="00520DCF" w14:paraId="548BDDD5" w14:textId="77777777" w:rsidTr="005A6A07">
        <w:tc>
          <w:tcPr>
            <w:tcW w:w="3595" w:type="dxa"/>
          </w:tcPr>
          <w:p w14:paraId="2228DB5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1474812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Историја, географија, ликовна уметност, српски језик.</w:t>
            </w:r>
          </w:p>
        </w:tc>
      </w:tr>
    </w:tbl>
    <w:p w14:paraId="14CA095A" w14:textId="77777777" w:rsidR="007952A2" w:rsidRPr="00520DCF" w:rsidRDefault="007952A2" w:rsidP="00520DCF">
      <w:pPr>
        <w:spacing w:after="0" w:line="276" w:lineRule="auto"/>
        <w:rPr>
          <w:rFonts w:cstheme="minorHAnsi"/>
          <w:sz w:val="24"/>
          <w:szCs w:val="24"/>
        </w:rPr>
      </w:pPr>
    </w:p>
    <w:p w14:paraId="25D5746C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1B02E584" w14:textId="77777777" w:rsidTr="005A6A07">
        <w:tc>
          <w:tcPr>
            <w:tcW w:w="10435" w:type="dxa"/>
          </w:tcPr>
          <w:p w14:paraId="08E02BF4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7EF541ED" w14:textId="77777777" w:rsidTr="005A6A07">
        <w:tc>
          <w:tcPr>
            <w:tcW w:w="10435" w:type="dxa"/>
          </w:tcPr>
          <w:p w14:paraId="592BC36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Подсећање на хронологију средњег века. Упоредна анализа њихових решења на хронолошком стаблу. Разговор о темпу друштвених промена. Подсећање на њихова знања о хуманизму и ренесанси. На примеру Ботичелијевог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Пролећа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одређење неких од главних одлика ренесансе.</w:t>
            </w:r>
          </w:p>
        </w:tc>
      </w:tr>
      <w:tr w:rsidR="007952A2" w:rsidRPr="00520DCF" w14:paraId="6DEBB7FF" w14:textId="77777777" w:rsidTr="005A6A07">
        <w:tc>
          <w:tcPr>
            <w:tcW w:w="10435" w:type="dxa"/>
          </w:tcPr>
          <w:p w14:paraId="21EF21AD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012FB883" w14:textId="77777777" w:rsidTr="005A6A07">
        <w:tc>
          <w:tcPr>
            <w:tcW w:w="10435" w:type="dxa"/>
          </w:tcPr>
          <w:p w14:paraId="06FE9CC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објашњава аналогију која се може успоставити у тематици Ботичелијевог дела и композиције Жоскена де Преа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Цврчак.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Слушање композиције и разговор о њој. Како је поетски садржај утицао на промене у музичком језику. Утврђује се битна одлика ренесансе, промена односа према природи и појава нове уметничке теме – природа као уметнички идеал. Повезивање са знањима ученика из других области – српског језика, књижевности, историје. Рађање човекове страсти за путовањима – открића нових континената, култура и земаља; излети у природу; стварање зоолошких вртова; интересовање за друге биљне и животињске врсте.</w:t>
            </w:r>
          </w:p>
          <w:p w14:paraId="70D19B4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објашњава шта у ренесанси значи да је антика била узор и инспирација и како се то може видети у музици. Због чега су пасторале биле омиљени ренесансни жанр.</w:t>
            </w:r>
          </w:p>
          <w:p w14:paraId="343E6E2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Објашњавају се одлике музике ренесансе и какве се промене јављају у вишегласју. Објашњење разлике у значењу одредница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вишегласје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и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полифонија.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Графички и музички објашњава се поступак </w:t>
            </w: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имитације.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Слушање и анализа примера Окегемовог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Део грацијас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5A1477C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Објашњење другог вида вишегласног компоновања –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хомофоније.</w:t>
            </w:r>
          </w:p>
          <w:p w14:paraId="5E42F9AF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 примене ова два вида вишегласног става у најзначајнијим ренесансним облицима – мотету, миси и мадригалу. Упознавање са делом Џона Данстабла. Слушање и анализа примера. Поређење различитих верзија извођења, вокалне и инструменталне. Указивање на то да је ренесансна традиција доминантно вокално. Да инструменти, кад се појављују, свирају неку од деоница вокалног става.</w:t>
            </w:r>
          </w:p>
          <w:p w14:paraId="4A718ED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lastRenderedPageBreak/>
              <w:t>Објашњење да мада мотетима називамо композиције писане од 12. века до данас, то не значи да су они увек компоновани истом композиционом техником. Уочавање разлика између политекстуалног мотета 13. века и ренесансног мотета.</w:t>
            </w:r>
          </w:p>
          <w:p w14:paraId="0182511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објашњава који су најзначајнији ренесансни облици, где се изводе, шта им је заједничко, како се међусобно разликују.</w:t>
            </w:r>
          </w:p>
          <w:p w14:paraId="7FF8A71B" w14:textId="2281BA77" w:rsidR="007952A2" w:rsidRPr="000C5151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Упознавање са делима Џон Данстабла као примерима на којима се демонстрирају претходна објашњења.</w:t>
            </w:r>
          </w:p>
        </w:tc>
      </w:tr>
      <w:tr w:rsidR="007952A2" w:rsidRPr="00520DCF" w14:paraId="36289AEA" w14:textId="77777777" w:rsidTr="005A6A07">
        <w:tc>
          <w:tcPr>
            <w:tcW w:w="10435" w:type="dxa"/>
          </w:tcPr>
          <w:p w14:paraId="1EC63D41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lastRenderedPageBreak/>
              <w:t>Завршни део часа 10 минута</w:t>
            </w:r>
          </w:p>
        </w:tc>
      </w:tr>
      <w:tr w:rsidR="007952A2" w:rsidRPr="00520DCF" w14:paraId="7E614CEA" w14:textId="77777777" w:rsidTr="005A6A07">
        <w:tc>
          <w:tcPr>
            <w:tcW w:w="10435" w:type="dxa"/>
          </w:tcPr>
          <w:p w14:paraId="4ECBE01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Разговор о Данстабловим композицијама. Ученици уз помоћ наставника долазе до одговора.</w:t>
            </w:r>
          </w:p>
        </w:tc>
      </w:tr>
    </w:tbl>
    <w:p w14:paraId="75D0966E" w14:textId="23196AA2" w:rsidR="000C5151" w:rsidRDefault="000C5151" w:rsidP="00520DCF">
      <w:pPr>
        <w:spacing w:after="0" w:line="276" w:lineRule="auto"/>
        <w:rPr>
          <w:rFonts w:cstheme="minorHAnsi"/>
          <w:sz w:val="24"/>
          <w:szCs w:val="24"/>
          <w:lang w:val="sr-Cyrl-RS"/>
        </w:rPr>
      </w:pPr>
    </w:p>
    <w:sectPr w:rsidR="000C5151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27C3F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2024-06-05T09:14:00Z</dcterms:modified>
</cp:coreProperties>
</file>