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32202" w:rsidRPr="009E420B" w:rsidTr="00A56FDD">
        <w:trPr>
          <w:trHeight w:val="383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132202" w:rsidRPr="009E420B" w:rsidTr="00A56FDD">
        <w:trPr>
          <w:trHeight w:val="405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32202" w:rsidRPr="002C6391" w:rsidRDefault="00132202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2C6391">
              <w:rPr>
                <w:rFonts w:ascii="Arial" w:hAnsi="Arial" w:cs="Arial"/>
                <w:b/>
                <w:sz w:val="24"/>
                <w:szCs w:val="24"/>
              </w:rPr>
              <w:t>Алфавит</w:t>
            </w:r>
          </w:p>
        </w:tc>
      </w:tr>
      <w:tr w:rsidR="00132202" w:rsidRPr="009E420B" w:rsidTr="00A56FDD">
        <w:trPr>
          <w:trHeight w:val="365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132202" w:rsidRPr="009E420B" w:rsidTr="00A56FDD">
        <w:trPr>
          <w:trHeight w:val="373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132202" w:rsidRPr="009E420B" w:rsidTr="00A56FDD">
        <w:trPr>
          <w:trHeight w:val="345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9E420B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32202" w:rsidRPr="009E420B" w:rsidTr="00A56FDD">
        <w:trPr>
          <w:trHeight w:val="396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</w:rPr>
              <w:t>4</w:t>
            </w:r>
            <w:r w:rsidRPr="009E420B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32202" w:rsidRPr="009E420B" w:rsidTr="00A56FDD">
        <w:trPr>
          <w:trHeight w:val="1757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тврђивање азбуке</w:t>
            </w:r>
          </w:p>
          <w:p w:rsidR="00132202" w:rsidRPr="009E420B" w:rsidRDefault="00132202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9E420B">
              <w:rPr>
                <w:rFonts w:ascii="Arial" w:hAnsi="Arial" w:cs="Arial"/>
                <w:sz w:val="24"/>
                <w:szCs w:val="24"/>
              </w:rPr>
              <w:t>свајање и вежбање правилног изговора</w:t>
            </w:r>
          </w:p>
          <w:p w:rsidR="00132202" w:rsidRPr="009E420B" w:rsidRDefault="00132202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9E420B">
              <w:rPr>
                <w:rFonts w:ascii="Arial" w:hAnsi="Arial" w:cs="Arial"/>
                <w:sz w:val="24"/>
                <w:szCs w:val="24"/>
              </w:rPr>
              <w:t>очавање језичких законитости</w:t>
            </w:r>
          </w:p>
          <w:p w:rsidR="00132202" w:rsidRPr="009E420B" w:rsidRDefault="00132202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132202" w:rsidRPr="009E420B" w:rsidRDefault="00132202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132202" w:rsidRPr="009E420B" w:rsidTr="00A56FDD">
        <w:trPr>
          <w:trHeight w:val="360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9E420B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132202" w:rsidRPr="00FB2115" w:rsidTr="00A56FDD">
        <w:trPr>
          <w:trHeight w:val="360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9A3B9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9A3B9A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9A3B9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32202" w:rsidRPr="009E420B" w:rsidTr="00A56FDD">
        <w:trPr>
          <w:trHeight w:val="360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32202" w:rsidRPr="009A3B9A" w:rsidRDefault="00132202" w:rsidP="00A03BAD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</w:t>
            </w:r>
          </w:p>
        </w:tc>
      </w:tr>
      <w:tr w:rsidR="00132202" w:rsidRPr="00FB2115" w:rsidTr="00A56FDD">
        <w:trPr>
          <w:trHeight w:val="360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132202" w:rsidRPr="00FB2115" w:rsidTr="00A56FDD">
        <w:trPr>
          <w:trHeight w:val="302"/>
        </w:trPr>
        <w:tc>
          <w:tcPr>
            <w:tcW w:w="2860" w:type="dxa"/>
            <w:shd w:val="clear" w:color="auto" w:fill="C0C0C0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132202" w:rsidRPr="00FB2115" w:rsidTr="00A56FDD">
        <w:trPr>
          <w:trHeight w:val="302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32202" w:rsidRPr="009A3B9A" w:rsidRDefault="00132202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132202" w:rsidRPr="009E420B" w:rsidTr="00A56FDD">
        <w:trPr>
          <w:trHeight w:val="302"/>
        </w:trPr>
        <w:tc>
          <w:tcPr>
            <w:tcW w:w="2860" w:type="dxa"/>
          </w:tcPr>
          <w:p w:rsidR="00132202" w:rsidRPr="009E420B" w:rsidRDefault="00132202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</w:tcPr>
          <w:p w:rsidR="00132202" w:rsidRPr="009E420B" w:rsidRDefault="00132202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Како правилно учити</w:t>
            </w:r>
          </w:p>
        </w:tc>
      </w:tr>
      <w:tr w:rsidR="00132202" w:rsidRPr="009E420B" w:rsidTr="00E3021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132202" w:rsidRPr="009E420B" w:rsidRDefault="00132202" w:rsidP="00A03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Ток часа</w:t>
            </w:r>
          </w:p>
        </w:tc>
      </w:tr>
      <w:tr w:rsidR="00132202" w:rsidRPr="00FB2115" w:rsidTr="00E30215">
        <w:trPr>
          <w:trHeight w:val="144"/>
        </w:trPr>
        <w:tc>
          <w:tcPr>
            <w:tcW w:w="10780" w:type="dxa"/>
            <w:gridSpan w:val="2"/>
          </w:tcPr>
          <w:p w:rsidR="00132202" w:rsidRPr="00A56FDD" w:rsidRDefault="00132202" w:rsidP="009A3B9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32202" w:rsidRPr="009E420B" w:rsidRDefault="00132202" w:rsidP="009A3B9A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32202" w:rsidRPr="009E420B" w:rsidRDefault="00132202" w:rsidP="009A3B9A">
            <w:pPr>
              <w:tabs>
                <w:tab w:val="left" w:pos="295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проверава домаћи задатак. Слова која су ученици направили каче се на пано учионице.</w:t>
            </w: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Уколико нису стигли, наставља се писање руске азбуке на табли до краја. Затим ученици слушају до краја песму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9E420B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РУССКИЙ АЛФАВИТ </w:t>
            </w:r>
            <w:r w:rsidRPr="009E420B">
              <w:rPr>
                <w:rFonts w:ascii="Arial" w:hAnsi="Arial" w:cs="Arial"/>
                <w:bCs/>
                <w:sz w:val="24"/>
                <w:szCs w:val="24"/>
                <w:lang w:val="ru-RU"/>
              </w:rPr>
              <w:t>и певају.</w:t>
            </w:r>
          </w:p>
          <w:p w:rsidR="00132202" w:rsidRPr="009A3B9A" w:rsidRDefault="00132202" w:rsidP="009A3B9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u w:val="single"/>
                <w:lang/>
              </w:rPr>
            </w:pPr>
          </w:p>
          <w:p w:rsidR="00132202" w:rsidRPr="009E420B" w:rsidRDefault="00132202" w:rsidP="009A3B9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32202" w:rsidRPr="009E420B" w:rsidRDefault="00132202" w:rsidP="009A3B9A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u w:val="single"/>
                <w:lang w:val="sr-Cyrl-CS"/>
              </w:rPr>
              <w:t>Сличности и разлике између српске и руске графије</w:t>
            </w: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 xml:space="preserve">Наставник затим упућује ученике да отворе уџбеник на </w:t>
            </w:r>
            <w:r w:rsidRPr="009E420B">
              <w:rPr>
                <w:rFonts w:ascii="Arial" w:hAnsi="Arial" w:cs="Arial"/>
                <w:b/>
                <w:color w:val="FF0000"/>
                <w:sz w:val="24"/>
                <w:szCs w:val="24"/>
                <w:lang w:val="sr-Cyrl-CS"/>
              </w:rPr>
              <w:t>стр.</w:t>
            </w:r>
            <w:r w:rsidR="009A3B9A">
              <w:rPr>
                <w:rFonts w:ascii="Arial" w:hAnsi="Arial" w:cs="Arial"/>
                <w:b/>
                <w:color w:val="FF0000"/>
                <w:sz w:val="24"/>
                <w:szCs w:val="24"/>
                <w:lang/>
              </w:rPr>
              <w:t xml:space="preserve"> </w:t>
            </w:r>
            <w:r w:rsidRPr="009E420B">
              <w:rPr>
                <w:rFonts w:ascii="Arial" w:hAnsi="Arial" w:cs="Arial"/>
                <w:b/>
                <w:color w:val="FF0000"/>
                <w:sz w:val="24"/>
                <w:szCs w:val="24"/>
                <w:lang w:val="sr-Cyrl-CS"/>
              </w:rPr>
              <w:t>10, вежба 7.</w:t>
            </w: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Каже им да заокруже она слова руске азбуке која се разликују од српске, а да подвуку она која се другачије пишу.</w:t>
            </w: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i/>
                <w:sz w:val="24"/>
                <w:szCs w:val="24"/>
                <w:lang w:val="sr-Cyrl-CS"/>
              </w:rPr>
              <w:t xml:space="preserve">Эта русская азбука. Сколько букв в русской азбуке? </w:t>
            </w: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Ученици заокружују писана слова која се исто пишу као у српском језику. Наставник </w:t>
            </w:r>
            <w:r w:rsidRPr="009E420B">
              <w:rPr>
                <w:rFonts w:ascii="Arial" w:hAnsi="Arial" w:cs="Arial"/>
                <w:sz w:val="24"/>
                <w:szCs w:val="24"/>
                <w:lang w:val="sr-Cyrl-CS"/>
              </w:rPr>
              <w:lastRenderedPageBreak/>
              <w:t>скреће пажњу да се поједина слова за која се чини да се исто пишу у ствари не пишу истим покретима као у српском језику.</w:t>
            </w:r>
          </w:p>
          <w:p w:rsidR="00132202" w:rsidRPr="009A3B9A" w:rsidRDefault="00132202" w:rsidP="009A3B9A">
            <w:pPr>
              <w:tabs>
                <w:tab w:val="left" w:pos="795"/>
                <w:tab w:val="left" w:pos="2610"/>
                <w:tab w:val="center" w:pos="5382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  <w:t>Уџбеник , вежба 8</w:t>
            </w: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повезују речи, а затим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их</w:t>
            </w: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изговарају. </w:t>
            </w:r>
          </w:p>
          <w:p w:rsidR="00132202" w:rsidRPr="009E420B" w:rsidRDefault="009A3B9A" w:rsidP="009A3B9A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DF539A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1in;height:63.95pt;visibility:visible">
                  <v:imagedata r:id="rId7" o:title=""/>
                </v:shape>
              </w:pict>
            </w:r>
            <w:r w:rsidR="00132202" w:rsidRPr="009E420B">
              <w:rPr>
                <w:rFonts w:ascii="Arial" w:hAnsi="Arial" w:cs="Arial"/>
                <w:bCs/>
                <w:sz w:val="24"/>
                <w:szCs w:val="24"/>
              </w:rPr>
              <w:t xml:space="preserve">Наставник затим пита </w:t>
            </w:r>
            <w:r w:rsidR="00132202">
              <w:rPr>
                <w:rFonts w:ascii="Arial" w:hAnsi="Arial" w:cs="Arial"/>
                <w:bCs/>
                <w:sz w:val="24"/>
                <w:szCs w:val="24"/>
              </w:rPr>
              <w:t>којих су речи</w:t>
            </w:r>
            <w:r w:rsidR="00132202" w:rsidRPr="009E420B">
              <w:rPr>
                <w:rFonts w:ascii="Arial" w:hAnsi="Arial" w:cs="Arial"/>
                <w:bCs/>
                <w:sz w:val="24"/>
                <w:szCs w:val="24"/>
              </w:rPr>
              <w:t xml:space="preserve"> на руском језику </w:t>
            </w:r>
            <w:r w:rsidR="00132202">
              <w:rPr>
                <w:rFonts w:ascii="Arial" w:hAnsi="Arial" w:cs="Arial"/>
                <w:bCs/>
                <w:sz w:val="24"/>
                <w:szCs w:val="24"/>
              </w:rPr>
              <w:t>до сада запамтили</w:t>
            </w:r>
            <w:r w:rsidR="00132202" w:rsidRPr="009E420B">
              <w:rPr>
                <w:rFonts w:ascii="Arial" w:hAnsi="Arial" w:cs="Arial"/>
                <w:bCs/>
                <w:sz w:val="24"/>
                <w:szCs w:val="24"/>
              </w:rPr>
              <w:t>. Ученици се деле на групе. Свака група пише речи којих се сећа. Побеђује она група са највише написаних правилних речи.</w:t>
            </w: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</w:rPr>
              <w:t>Похваљује се свака група за уложени труд.</w:t>
            </w: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9E420B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Уџбеник, вежба 9.</w:t>
            </w:r>
          </w:p>
          <w:p w:rsidR="00132202" w:rsidRPr="00A56FDD" w:rsidRDefault="00132202" w:rsidP="009A3B9A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</w:rPr>
              <w:t>Наставник упућује ученике како правилно учити. Ученици раде у пару. Показује им речник који се налази на стр.</w:t>
            </w:r>
            <w:r w:rsidR="009A3B9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E420B">
              <w:rPr>
                <w:rFonts w:ascii="Arial" w:hAnsi="Arial" w:cs="Arial"/>
                <w:bCs/>
                <w:sz w:val="24"/>
                <w:szCs w:val="24"/>
              </w:rPr>
              <w:t xml:space="preserve">100, објашњава симболе на почетку и на упућивања на технике учења речи. </w:t>
            </w: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132202" w:rsidRPr="009E420B" w:rsidRDefault="00132202" w:rsidP="009A3B9A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</w:rPr>
              <w:t>Савети за учење налазе се на стр.</w:t>
            </w:r>
            <w:r w:rsidR="009A3B9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E420B">
              <w:rPr>
                <w:rFonts w:ascii="Arial" w:hAnsi="Arial" w:cs="Arial"/>
                <w:bCs/>
                <w:sz w:val="24"/>
                <w:szCs w:val="24"/>
              </w:rPr>
              <w:t>117. Ученици читају савете 1, 4, 5 а затим коментаришу заједно са наставником. Наставник објашњава савете и наводи примере.</w:t>
            </w:r>
          </w:p>
          <w:p w:rsidR="00132202" w:rsidRPr="009E420B" w:rsidRDefault="00132202" w:rsidP="009A3B9A">
            <w:pPr>
              <w:pStyle w:val="ListParagraph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32202" w:rsidRPr="002C6391" w:rsidRDefault="00132202" w:rsidP="009A3B9A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</w:rPr>
              <w:t>Ученици траже реч коју је наставник изговорио, и самим тим вежбају сналажење у речнику.</w:t>
            </w:r>
          </w:p>
          <w:p w:rsidR="00132202" w:rsidRPr="009A3B9A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32202" w:rsidRPr="002C6391" w:rsidRDefault="00132202" w:rsidP="009A3B9A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2C639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32202" w:rsidRPr="009E420B" w:rsidRDefault="00132202" w:rsidP="009A3B9A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На завршном делу часа</w:t>
            </w:r>
            <w:r w:rsidRPr="009E420B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ученици раде вежбања из РС, стр. 4 и 5, нека самостално, а нека заједно са наставником.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Наставник проверава како су ученици урадили вежбања.</w:t>
            </w:r>
          </w:p>
          <w:p w:rsidR="00132202" w:rsidRPr="009E420B" w:rsidRDefault="00132202" w:rsidP="009A3B9A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32202" w:rsidRPr="00FB2115" w:rsidTr="00E3021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132202" w:rsidRDefault="00132202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132202" w:rsidRPr="009E420B" w:rsidRDefault="00132202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9E420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132202" w:rsidRPr="009E420B" w:rsidRDefault="00132202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32202" w:rsidRDefault="00132202" w:rsidP="00A03BAD">
            <w:pPr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9E420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Увежбати писање руских слова или речи.</w:t>
            </w:r>
          </w:p>
          <w:p w:rsidR="009A3B9A" w:rsidRPr="009A3B9A" w:rsidRDefault="009A3B9A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</w:tbl>
    <w:p w:rsidR="00132202" w:rsidRPr="00D73743" w:rsidRDefault="00132202" w:rsidP="00D73743"/>
    <w:sectPr w:rsidR="00132202" w:rsidRPr="00D73743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202" w:rsidRDefault="00132202" w:rsidP="00637453">
      <w:r>
        <w:separator/>
      </w:r>
    </w:p>
  </w:endnote>
  <w:endnote w:type="continuationSeparator" w:id="1">
    <w:p w:rsidR="00132202" w:rsidRDefault="00132202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2" w:rsidRDefault="00DF539A">
    <w:pPr>
      <w:pStyle w:val="Footer"/>
    </w:pPr>
    <w:r w:rsidRPr="00DF539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32202" w:rsidRPr="007B7CD2" w:rsidRDefault="00132202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DF539A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DF539A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9A3B9A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DF539A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202" w:rsidRDefault="00132202" w:rsidP="00637453">
      <w:r>
        <w:separator/>
      </w:r>
    </w:p>
  </w:footnote>
  <w:footnote w:type="continuationSeparator" w:id="1">
    <w:p w:rsidR="00132202" w:rsidRDefault="00132202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2" w:rsidRPr="003B6FAA" w:rsidRDefault="00DF539A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DF539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DF539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32202" w:rsidRPr="00E30215" w:rsidRDefault="00132202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</w:t>
                </w:r>
              </w:p>
            </w:txbxContent>
          </v:textbox>
        </v:shape>
      </w:pict>
    </w:r>
    <w:r w:rsidRPr="00DF539A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DF539A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132202">
      <w:tab/>
    </w:r>
    <w:r w:rsidR="00132202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132202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 xml:space="preserve">            </w:t>
    </w:r>
    <w:r w:rsidR="00132202" w:rsidRPr="002C7069">
      <w:rPr>
        <w:rFonts w:ascii="Arial" w:hAnsi="Arial" w:cs="Arial"/>
        <w:sz w:val="24"/>
        <w:szCs w:val="24"/>
        <w:lang w:val="sr-Cyrl-CS"/>
      </w:rPr>
      <w:t xml:space="preserve"> </w:t>
    </w:r>
    <w:r w:rsidR="00132202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132202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32202" w:rsidRDefault="00DF539A" w:rsidP="00C95499">
    <w:pPr>
      <w:pStyle w:val="Header"/>
      <w:tabs>
        <w:tab w:val="clear" w:pos="4680"/>
        <w:tab w:val="clear" w:pos="9360"/>
        <w:tab w:val="left" w:pos="3119"/>
      </w:tabs>
    </w:pPr>
    <w:r w:rsidRPr="00DF539A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621E93"/>
    <w:multiLevelType w:val="hybridMultilevel"/>
    <w:tmpl w:val="465483EA"/>
    <w:lvl w:ilvl="0" w:tplc="2C6459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32202"/>
    <w:rsid w:val="00151A8E"/>
    <w:rsid w:val="00162999"/>
    <w:rsid w:val="00167EF3"/>
    <w:rsid w:val="00181B6E"/>
    <w:rsid w:val="001B3A0A"/>
    <w:rsid w:val="00271CE1"/>
    <w:rsid w:val="002C6391"/>
    <w:rsid w:val="002C7069"/>
    <w:rsid w:val="002E5FB7"/>
    <w:rsid w:val="002E7DE5"/>
    <w:rsid w:val="003B6FAA"/>
    <w:rsid w:val="003C43D5"/>
    <w:rsid w:val="00407FFA"/>
    <w:rsid w:val="00424207"/>
    <w:rsid w:val="00440441"/>
    <w:rsid w:val="00482260"/>
    <w:rsid w:val="004D3E2C"/>
    <w:rsid w:val="00541B94"/>
    <w:rsid w:val="005A204B"/>
    <w:rsid w:val="005A4B8F"/>
    <w:rsid w:val="006219FD"/>
    <w:rsid w:val="00637453"/>
    <w:rsid w:val="00774388"/>
    <w:rsid w:val="00795AEC"/>
    <w:rsid w:val="007B7CD2"/>
    <w:rsid w:val="008334AE"/>
    <w:rsid w:val="008D3F2A"/>
    <w:rsid w:val="00943847"/>
    <w:rsid w:val="009A3B9A"/>
    <w:rsid w:val="009E420B"/>
    <w:rsid w:val="00A03BAD"/>
    <w:rsid w:val="00A56FDD"/>
    <w:rsid w:val="00A674B9"/>
    <w:rsid w:val="00A965D8"/>
    <w:rsid w:val="00A96608"/>
    <w:rsid w:val="00AA1D0E"/>
    <w:rsid w:val="00AB1E5C"/>
    <w:rsid w:val="00AF6E22"/>
    <w:rsid w:val="00B2630E"/>
    <w:rsid w:val="00B47931"/>
    <w:rsid w:val="00B61D57"/>
    <w:rsid w:val="00BB2DF1"/>
    <w:rsid w:val="00BD1FAD"/>
    <w:rsid w:val="00C86BED"/>
    <w:rsid w:val="00C95499"/>
    <w:rsid w:val="00D06F3A"/>
    <w:rsid w:val="00D1580F"/>
    <w:rsid w:val="00D61540"/>
    <w:rsid w:val="00D73743"/>
    <w:rsid w:val="00DD3B03"/>
    <w:rsid w:val="00DF539A"/>
    <w:rsid w:val="00E25EB5"/>
    <w:rsid w:val="00E30215"/>
    <w:rsid w:val="00EC3B15"/>
    <w:rsid w:val="00F1765F"/>
    <w:rsid w:val="00F206F7"/>
    <w:rsid w:val="00F43F2E"/>
    <w:rsid w:val="00F900E9"/>
    <w:rsid w:val="00FB2115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3021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2</Pages>
  <Words>399</Words>
  <Characters>2156</Characters>
  <Application>Microsoft Office Word</Application>
  <DocSecurity>0</DocSecurity>
  <Lines>17</Lines>
  <Paragraphs>5</Paragraphs>
  <ScaleCrop>false</ScaleCrop>
  <Company>CtrlSoft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2013-12-16T09:07:00Z</dcterms:created>
  <dcterms:modified xsi:type="dcterms:W3CDTF">2014-01-13T10:08:00Z</dcterms:modified>
</cp:coreProperties>
</file>