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Француски језик за 2.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 1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2"/>
                <w:szCs w:val="22"/>
                <w:lang w:val="en-U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1"/>
                <w:szCs w:val="21"/>
                <w:lang w:val="en-US" w:eastAsia="sr-Latn-CS"/>
              </w:rPr>
              <w:t>BONJOUR, NOUS REVOILA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>
                <w:lang w:val="sr-Latn-RS"/>
              </w:rPr>
            </w:pP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>Saluer et se pr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lang w:val="sr-Latn-RS" w:eastAsia="sr-Latn-CS"/>
              </w:rPr>
              <w:t>senter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Обрада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Обнављање и усвајање знања која се односе на поздрављање и представљање 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и давања личних информација.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 xml:space="preserve">- поздраве и отпоздраве користећи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sr-RS" w:eastAsia="sr-Latn-CS"/>
              </w:rPr>
              <w:t xml:space="preserve">формалне и </w:t>
            </w: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lang w:val="en-US" w:eastAsia="sr-Latn-CS"/>
              </w:rPr>
              <w:t>неформалне поздраве;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en-US" w:eastAsia="en-GB"/>
              </w:rPr>
              <w:t xml:space="preserve"> Salut !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Tu vas bien ? Bonjour, ça va ? Ça va, merci! Comment allez-vous ?Bonjour, Monsieur. Au revoir, Madame.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2"/>
                <w:szCs w:val="22"/>
                <w:lang w:val="en-US" w:eastAsia="en-GB"/>
              </w:rPr>
              <w:t>- разумеју и формулишу једноставне исказе који се односе на представљање: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en-US" w:eastAsia="en-GB"/>
              </w:rPr>
              <w:t xml:space="preserve"> Je m’appelle Milica.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2"/>
                <w:szCs w:val="22"/>
                <w:lang w:val="fr-FR" w:eastAsia="en-GB"/>
              </w:rPr>
              <w:t>Tu t’appelles comment ?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 xml:space="preserve">Фронтални, индивидуални, групни рад 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lang w:val="sr-RS"/>
              </w:rPr>
              <w:t>У</w:t>
            </w:r>
            <w:r>
              <w:rPr>
                <w:rFonts w:ascii="Times New Roman" w:hAnsi="Times New Roman"/>
                <w:lang w:val="sr-CS"/>
              </w:rPr>
              <w:t>џбеник</w:t>
            </w:r>
            <w:r>
              <w:rPr>
                <w:rFonts w:ascii="Times New Roman" w:hAnsi="Times New Roman"/>
                <w:lang w:val="sr-RS"/>
              </w:rPr>
              <w:t xml:space="preserve"> (стр.3,5)</w:t>
            </w:r>
            <w:r>
              <w:rPr>
                <w:rFonts w:ascii="Times New Roman" w:hAnsi="Times New Roman"/>
                <w:lang w:val="sr-CS"/>
              </w:rPr>
              <w:t>, приручник за наставнике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RS"/>
              </w:rPr>
              <w:t>(стр.6,7)</w:t>
            </w:r>
            <w:r>
              <w:rPr>
                <w:rFonts w:ascii="Times New Roman" w:hAnsi="Times New Roman"/>
                <w:lang w:val="sr-CS"/>
              </w:rPr>
              <w:t xml:space="preserve">, </w:t>
            </w:r>
            <w:r>
              <w:rPr>
                <w:rFonts w:ascii="Times New Roman" w:hAnsi="Times New Roman"/>
                <w:lang w:val="sr-RS"/>
              </w:rPr>
              <w:t>аудио запис на ЦД 1.(снимак бр. 2,3,8,9)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Грађанско васпитање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На почетку наставник поздрави ученике уз осврт како су провели распуст и затим запева песму коју су учили у првом разреду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fr-FR" w:eastAsia="sr-Latn-CS" w:bidi="ar-SA"/>
              </w:rPr>
              <w:t xml:space="preserve">Bonjour, ça va?“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 w:bidi="ar-SA"/>
              </w:rPr>
              <w:t xml:space="preserve">(ЦД , снимак бр. 2, транскрипт песме, Приручнник за наставнике, стр. 6.) Песму ученици певају два пута, најпре сви заједно, а потом их наставник подели на две групе. </w:t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>Активност бр.1.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Наставник  позове ученике да стану у круг и покаже им активност, сваки ученик треба да направи један корак десном ногом ка центру круга, изговарајући истовремено „је“, затим придружује леву ногу изговарајући „...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Latn-RS" w:eastAsia="sr-Latn-CS"/>
              </w:rPr>
              <w:t>m‘appelle...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“, потом враћа десну изговарајући своје име интонацијом на француском језику и коначно враћа и леву ногу. Активност се најпре изводи појединачно, док сви не изговоре реченицу, а затим сви ученици истовремено.</w:t>
            </w:r>
          </w:p>
          <w:p>
            <w:pPr>
              <w:pStyle w:val="Normal"/>
              <w:jc w:val="both"/>
              <w:rPr>
                <w:u w:val="singl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>Активност бр.2.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Ученици затим седају на своја места и наставник даје упутство „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Latn-RS" w:eastAsia="sr-Latn-CS"/>
              </w:rPr>
              <w:t xml:space="preserve">Ouvrez votre livre a la page 3!“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>и пита их шта показују особе на сликама. Очекивани одговор је „Поздрављање“. Наставник пушта аудио снимак (ЦД, снимак бр.3; транскрипт снимка Приручник за наставнике, стр.7), ученици слушају поздраве на које треба да одговоре.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u w:val="single"/>
                <w:lang w:val="sr-RS" w:eastAsia="sr-Latn-CS"/>
              </w:rPr>
              <w:t>Активност бр. 3.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sr-RS" w:eastAsia="sr-Latn-CS"/>
              </w:rPr>
              <w:t xml:space="preserve">Ученици слушају аудио запис стрипа (Уџбеник, стр.5, ЦД, снимак бр. 8 и 9) и понављају гласно реплике. На снимку бр 8 прича иде по реду, док је на снимку бр 9, прича измешана па ученици погађају на коју слику се која реплика односи.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(5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Ученици бирају улоге које им се највише допадају и праве сцену изговарајући реплике. Наставник помаже и настоји да сви ученици изговоре правилно одабране реченице. 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8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LibreOffice/5.3.2.2$Windows_x86 LibreOffice_project/6cd4f1ef626f15116896b1d8e1398b56da0d0ee1</Application>
  <Pages>2</Pages>
  <Words>428</Words>
  <Characters>2364</Characters>
  <CharactersWithSpaces>2758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2019-09-01T17:56:26Z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