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E30456" w:rsidRPr="00551494" w:rsidTr="00FE59CE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E30456" w:rsidRPr="00F27131" w:rsidRDefault="00E30456" w:rsidP="00FE59C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E30456" w:rsidRPr="00415E2E" w:rsidRDefault="00E30456" w:rsidP="003F7EA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F7EA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30456" w:rsidRPr="00551494" w:rsidTr="00FE59CE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E30456" w:rsidRPr="00415E2E" w:rsidRDefault="00E30456" w:rsidP="00FE59C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E30456" w:rsidRPr="00A6601C" w:rsidRDefault="00E30456" w:rsidP="00FE59C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E30456" w:rsidRPr="00551494" w:rsidTr="00FE59C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30456" w:rsidRPr="00415E2E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30456" w:rsidRPr="00415E2E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30456" w:rsidRPr="00551494" w:rsidTr="00FE59C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E30456" w:rsidRPr="00415E2E" w:rsidRDefault="00E30456" w:rsidP="00FE59C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24.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E30456" w:rsidRPr="00415E2E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30456" w:rsidRPr="00415E2E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30456" w:rsidRPr="00551494" w:rsidTr="00FE59CE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E30456" w:rsidRPr="00940E9A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30456" w:rsidRPr="005F6656" w:rsidRDefault="00E30456" w:rsidP="00FE59CE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Austausch</w:t>
            </w:r>
          </w:p>
          <w:p w:rsidR="00E30456" w:rsidRPr="0086358C" w:rsidRDefault="00E30456" w:rsidP="00FE59CE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E30456" w:rsidRPr="00551494" w:rsidTr="00FE59CE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E30456" w:rsidRPr="00940E9A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456" w:rsidRPr="005451AB" w:rsidRDefault="00E30456" w:rsidP="00FE59C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de-DE"/>
              </w:rPr>
              <w:t>Wechselpräpositionen mit Dativ</w:t>
            </w:r>
          </w:p>
          <w:p w:rsidR="00E30456" w:rsidRPr="0092715A" w:rsidRDefault="00E30456" w:rsidP="00FE59CE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E30456" w:rsidRPr="00551494" w:rsidTr="00FE59CE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E30456" w:rsidRPr="00940E9A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456" w:rsidRPr="00AA6E00" w:rsidRDefault="00E30456" w:rsidP="00FE59CE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Обрада/утврђивање</w:t>
            </w:r>
          </w:p>
        </w:tc>
      </w:tr>
      <w:tr w:rsidR="00E30456" w:rsidRPr="003F7EAA" w:rsidTr="00FE59CE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E30456" w:rsidRPr="00940E9A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456" w:rsidRPr="003F7EAA" w:rsidRDefault="00E30456" w:rsidP="00FE59CE">
            <w:pPr>
              <w:jc w:val="both"/>
              <w:rPr>
                <w:rFonts w:ascii="Times New Roman" w:hAnsi="Times New Roman"/>
                <w:lang w:val="sr-Cyrl-CS"/>
              </w:rPr>
            </w:pPr>
            <w:r w:rsidRPr="003F7EAA">
              <w:rPr>
                <w:rFonts w:ascii="Times New Roman" w:hAnsi="Times New Roman"/>
                <w:lang w:val="sr-Cyrl-CS" w:eastAsia="sr-Latn-CS"/>
              </w:rPr>
              <w:t xml:space="preserve">Усвајање </w:t>
            </w:r>
            <w:r>
              <w:rPr>
                <w:rFonts w:ascii="Times New Roman" w:hAnsi="Times New Roman"/>
                <w:lang w:val="sr-Cyrl-CS" w:eastAsia="sr-Latn-CS"/>
              </w:rPr>
              <w:t>глагола мировања и предлога који се односе на положај предмета у простору</w:t>
            </w:r>
          </w:p>
        </w:tc>
      </w:tr>
      <w:tr w:rsidR="00E30456" w:rsidRPr="003F7EAA" w:rsidTr="00FE59CE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E30456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E30456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E30456" w:rsidRPr="00940E9A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E30456" w:rsidRPr="00B23B1A" w:rsidRDefault="00E30456" w:rsidP="00FE59CE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3F7EAA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 w:rsidRPr="00B23B1A"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3F7EAA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 w:rsidRPr="00B23B1A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E30456" w:rsidRPr="003F7EAA" w:rsidRDefault="00E30456" w:rsidP="00FE59CE">
            <w:pPr>
              <w:jc w:val="both"/>
              <w:rPr>
                <w:rFonts w:ascii="Times New Roman" w:hAnsi="Times New Roman"/>
                <w:lang w:val="sr-Cyrl-CS"/>
              </w:rPr>
            </w:pPr>
            <w:r w:rsidRPr="003F7EAA">
              <w:rPr>
                <w:rFonts w:ascii="Times New Roman" w:hAnsi="Times New Roman"/>
                <w:lang w:val="sr-Cyrl-CS"/>
              </w:rPr>
              <w:t>- разумеју једноставнија питања која се односе на положај предмета у простору</w:t>
            </w:r>
          </w:p>
          <w:p w:rsidR="00E30456" w:rsidRPr="003F7EAA" w:rsidRDefault="00E30456" w:rsidP="00FE59CE">
            <w:pPr>
              <w:jc w:val="both"/>
              <w:rPr>
                <w:rFonts w:ascii="Times New Roman" w:hAnsi="Times New Roman"/>
                <w:lang w:val="sr-Cyrl-CS"/>
              </w:rPr>
            </w:pPr>
            <w:r w:rsidRPr="003F7EAA">
              <w:rPr>
                <w:rFonts w:ascii="Times New Roman" w:hAnsi="Times New Roman"/>
                <w:lang w:val="sr-Cyrl-CS"/>
              </w:rPr>
              <w:t>- затраже и разумеју обавештења о положају предмета у простору</w:t>
            </w:r>
          </w:p>
          <w:p w:rsidR="00E30456" w:rsidRPr="003F7EAA" w:rsidRDefault="00E30456" w:rsidP="00FE59CE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</w:p>
        </w:tc>
      </w:tr>
      <w:tr w:rsidR="00E30456" w:rsidRPr="00551494" w:rsidTr="00FE59CE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E30456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456" w:rsidRPr="000846AC" w:rsidRDefault="00E30456" w:rsidP="00FE59CE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0846AC">
              <w:rPr>
                <w:rFonts w:ascii="Times New Roman" w:eastAsia="Times New Roman" w:hAnsi="Times New Roman"/>
                <w:lang w:eastAsia="sr-Latn-CS"/>
              </w:rPr>
              <w:t>Комуникација, сарадња, компетенција учења, естетичка</w:t>
            </w:r>
          </w:p>
          <w:p w:rsidR="00E30456" w:rsidRPr="000846AC" w:rsidRDefault="00E30456" w:rsidP="00FE59CE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</w:p>
        </w:tc>
      </w:tr>
      <w:tr w:rsidR="00E30456" w:rsidRPr="00551494" w:rsidTr="00FE59CE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E30456" w:rsidRPr="00940E9A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456" w:rsidRPr="00BA37AD" w:rsidRDefault="00E30456" w:rsidP="00FE59CE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A37AD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E30456" w:rsidRPr="00551494" w:rsidTr="00FE59CE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E30456" w:rsidRPr="00940E9A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456" w:rsidRPr="009F3E08" w:rsidRDefault="00E30456" w:rsidP="00FE59CE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BA37AD">
              <w:rPr>
                <w:rFonts w:ascii="Times New Roman" w:hAnsi="Times New Roman"/>
                <w:lang w:val="sr-Cyrl-CS" w:eastAsia="sr-Latn-CS"/>
              </w:rPr>
              <w:t xml:space="preserve">Вербална, </w:t>
            </w:r>
            <w:r>
              <w:rPr>
                <w:rFonts w:ascii="Times New Roman" w:hAnsi="Times New Roman"/>
                <w:lang w:val="sr-Cyrl-CS" w:eastAsia="sr-Latn-CS"/>
              </w:rPr>
              <w:t xml:space="preserve">дијалошка, </w:t>
            </w:r>
            <w:r w:rsidRPr="00BA37AD">
              <w:rPr>
                <w:rFonts w:ascii="Times New Roman" w:hAnsi="Times New Roman"/>
                <w:lang w:val="sr-Cyrl-CS" w:eastAsia="sr-Latn-CS"/>
              </w:rPr>
              <w:t>писана, показна, слушање</w:t>
            </w:r>
          </w:p>
        </w:tc>
      </w:tr>
      <w:tr w:rsidR="00E30456" w:rsidRPr="00551494" w:rsidTr="00FE59CE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E30456" w:rsidRPr="00940E9A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456" w:rsidRPr="00BA37AD" w:rsidRDefault="00E30456" w:rsidP="00FE59CE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A37AD">
              <w:rPr>
                <w:rFonts w:ascii="Times New Roman" w:hAnsi="Times New Roman"/>
                <w:lang w:val="sr-Cyrl-CS"/>
              </w:rPr>
              <w:t>Уџбеник, радна свеска, свеска, цд, картице</w:t>
            </w:r>
          </w:p>
        </w:tc>
      </w:tr>
      <w:tr w:rsidR="00E30456" w:rsidRPr="00551494" w:rsidTr="00FE59CE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E30456" w:rsidRPr="00940E9A" w:rsidRDefault="00E30456" w:rsidP="00FE59C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456" w:rsidRPr="005F6656" w:rsidRDefault="00E30456" w:rsidP="00FE59CE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</w:p>
        </w:tc>
      </w:tr>
      <w:tr w:rsidR="00E30456" w:rsidRPr="00551494" w:rsidTr="00FE59CE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30456" w:rsidRPr="00940E9A" w:rsidRDefault="00E30456" w:rsidP="00FE59C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E30456" w:rsidRPr="003F7EAA" w:rsidTr="00FE59CE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E30456" w:rsidRDefault="00E30456" w:rsidP="00FE59C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30456" w:rsidRPr="00510893" w:rsidRDefault="00E30456" w:rsidP="00FE59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6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E30456" w:rsidRPr="00940E9A" w:rsidRDefault="00E30456" w:rsidP="00FE59CE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E30456" w:rsidRPr="00E96586" w:rsidRDefault="00E30456" w:rsidP="00FE59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пише наставну јединицу на табли и говори ученицима да су им ови предлози познати од раније, а да ће на данашњем и наредном часу детаљније да се баве њима. Обнавља са ученицима предлоге тако што им показује картице на којима су илустровани, ученици их говоре, а наставник их записује на табли.</w:t>
            </w:r>
            <w:r w:rsidRPr="00E9658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E30456" w:rsidRPr="003F7EAA" w:rsidTr="00FE59CE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E30456" w:rsidRPr="00940E9A" w:rsidRDefault="00E30456" w:rsidP="00FE59C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30456" w:rsidRPr="003859A3" w:rsidRDefault="00E30456" w:rsidP="00FE59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E30456" w:rsidRPr="001103C3" w:rsidRDefault="00E30456" w:rsidP="00FE59CE">
            <w:pPr>
              <w:jc w:val="both"/>
              <w:rPr>
                <w:rFonts w:ascii="Times New Roman" w:hAnsi="Times New Roman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</w:rPr>
              <w:t>Ученици раде задатак 5а у радној свесци, страна 21 да би се подсетили назива делова намештаја. Наставник наглашава да обавезно мора да буде написан и члан. Читају и проверавају.</w:t>
            </w:r>
          </w:p>
          <w:p w:rsidR="00E30456" w:rsidRDefault="00E30456" w:rsidP="00FE59CE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E30456" w:rsidRPr="001103C3" w:rsidRDefault="00E30456" w:rsidP="00FE59CE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посматрају слике у задатку 5а у уџбенику, страна 24, а затим слушају ЦД (тонски запис 30) и одређују која слика иде уз текст који су чули.</w:t>
            </w:r>
          </w:p>
          <w:p w:rsidR="00E30456" w:rsidRDefault="00E30456" w:rsidP="00FE59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30456" w:rsidRPr="00E96586" w:rsidRDefault="00E30456" w:rsidP="00FE59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4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поново слушају ЦД (тонски запис 30) и допуњавају задатак 5ц у уџбенику, страна 24. Ученици читају реченице и проверавају решења. </w:t>
            </w:r>
          </w:p>
          <w:p w:rsidR="00E30456" w:rsidRDefault="00E30456" w:rsidP="00FE59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30456" w:rsidRPr="00E30456" w:rsidRDefault="00E30456" w:rsidP="00FE59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5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Након читања наставник пита ученике који глаголи су употребљени у реченицама и да ли они означавају мировање или кретање. Ученици одговарају на питања, а наставник их затим пита да из датих примера закључе који падеж стоји уз глаголе мировања. Ученици одговарају да је то датив. Наставник наглашава да се за датив користи упитна реч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wo</w:t>
            </w:r>
            <w:r w:rsidRPr="00B23B1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3F7EAA">
              <w:rPr>
                <w:rFonts w:ascii="Times New Roman" w:hAnsi="Times New Roman"/>
                <w:color w:val="000000"/>
                <w:lang w:val="sr-Cyrl-CS" w:eastAsia="sr-Latn-CS"/>
              </w:rPr>
              <w:t>и записује на табли:</w:t>
            </w:r>
          </w:p>
          <w:p w:rsidR="00E30456" w:rsidRPr="00E30456" w:rsidRDefault="00E30456" w:rsidP="00FE59C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30456" w:rsidRDefault="009052A9" w:rsidP="00FE59CE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noProof/>
                <w:color w:val="000000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41.85pt;margin-top:-.95pt;width:12pt;height:1in;z-index:251660288"/>
              </w:pict>
            </w:r>
            <w:r w:rsidR="00E30456">
              <w:rPr>
                <w:rFonts w:ascii="Times New Roman" w:hAnsi="Times New Roman"/>
                <w:color w:val="000000"/>
                <w:lang w:val="de-DE" w:eastAsia="sr-Latn-CS"/>
              </w:rPr>
              <w:t>stehen</w:t>
            </w:r>
          </w:p>
          <w:p w:rsidR="00E30456" w:rsidRDefault="00E30456" w:rsidP="00FE59CE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sein</w:t>
            </w:r>
          </w:p>
          <w:p w:rsidR="00E30456" w:rsidRDefault="00E30456" w:rsidP="00FE59CE">
            <w:pPr>
              <w:tabs>
                <w:tab w:val="left" w:pos="1455"/>
              </w:tabs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liegen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ab/>
              <w:t>+ Dativ → Wo?</w:t>
            </w:r>
          </w:p>
          <w:p w:rsidR="00E30456" w:rsidRDefault="00E30456" w:rsidP="00FE59CE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hängen</w:t>
            </w:r>
          </w:p>
          <w:p w:rsidR="00E30456" w:rsidRDefault="00E30456" w:rsidP="00FE59CE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sitzen</w:t>
            </w:r>
          </w:p>
          <w:p w:rsidR="00E30456" w:rsidRDefault="00E30456" w:rsidP="00FE59CE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:rsidR="00E30456" w:rsidRDefault="00E30456" w:rsidP="00FE59CE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</w:p>
          <w:p w:rsidR="00E30456" w:rsidRPr="003F7EAA" w:rsidRDefault="00E30456" w:rsidP="00FE59CE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de-DE" w:eastAsia="sr-Latn-CS"/>
              </w:rPr>
              <w:t>6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раде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задатак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5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б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радној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свесци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Слушају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ЦД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(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тонски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запис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19),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обележавају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грешке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слици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међусобно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упоређују</w:t>
            </w:r>
            <w:r w:rsidRPr="003F7EAA">
              <w:rPr>
                <w:rFonts w:ascii="Times New Roman" w:hAnsi="Times New Roman"/>
                <w:color w:val="000000"/>
                <w:lang w:val="de-DE" w:eastAsia="sr-Latn-CS"/>
              </w:rPr>
              <w:t>.</w:t>
            </w:r>
          </w:p>
        </w:tc>
      </w:tr>
      <w:tr w:rsidR="00E30456" w:rsidRPr="00551494" w:rsidTr="00FE59CE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E30456" w:rsidRPr="00940E9A" w:rsidRDefault="00E30456" w:rsidP="00FE59C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30456" w:rsidRPr="00940E9A" w:rsidRDefault="00E30456" w:rsidP="00FE59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(7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E30456" w:rsidRPr="00B23B1A" w:rsidRDefault="00E30456" w:rsidP="00FE59CE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 w:rsidRPr="003F7EA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7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B23B1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3F7EAA">
              <w:rPr>
                <w:rFonts w:ascii="Times New Roman" w:hAnsi="Times New Roman"/>
                <w:color w:val="000000"/>
                <w:lang w:val="sr-Cyrl-CS" w:eastAsia="sr-Latn-CS"/>
              </w:rPr>
              <w:t>Ученици у паровима увежбавају употребу ових предлога са дативом. Један ученик узме нпр. свеску, стави је на столицу и пита: „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Wo</w:t>
            </w:r>
            <w:r w:rsidRPr="003F7EA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liegt</w:t>
            </w:r>
            <w:r w:rsidRPr="003F7EA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das</w:t>
            </w:r>
            <w:r w:rsidRPr="003F7EA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Heft</w:t>
            </w:r>
            <w:r w:rsidRPr="003F7EAA">
              <w:rPr>
                <w:rFonts w:ascii="Times New Roman" w:hAnsi="Times New Roman"/>
                <w:color w:val="000000"/>
                <w:lang w:val="sr-Cyrl-CS" w:eastAsia="sr-Latn-CS"/>
              </w:rPr>
              <w:t>?“ Други одговара „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Das</w:t>
            </w:r>
            <w:r w:rsidRPr="003F7EA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Heft</w:t>
            </w:r>
            <w:r w:rsidRPr="003F7EA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liegt</w:t>
            </w:r>
            <w:r w:rsidRPr="003F7EA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auf</w:t>
            </w:r>
            <w:r w:rsidRPr="003F7EA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dem</w:t>
            </w:r>
            <w:r w:rsidRPr="003F7EA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Stuhl</w:t>
            </w:r>
            <w:r w:rsidRPr="003F7EA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.“ И тако наизменично.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 могу и да мењају парове.</w:t>
            </w:r>
          </w:p>
        </w:tc>
      </w:tr>
      <w:tr w:rsidR="00E30456" w:rsidRPr="00551494" w:rsidTr="00FE59CE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30456" w:rsidRPr="00940E9A" w:rsidRDefault="00E30456" w:rsidP="00FE59C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30456" w:rsidRPr="00551494" w:rsidTr="00FE59CE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30456" w:rsidRPr="00940E9A" w:rsidRDefault="00E30456" w:rsidP="00FE59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30456" w:rsidRPr="00940E9A" w:rsidRDefault="00E30456" w:rsidP="00FE59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30456" w:rsidRPr="00940E9A" w:rsidRDefault="00E30456" w:rsidP="00FE59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30456" w:rsidRPr="00551494" w:rsidTr="00FE59CE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30456" w:rsidRPr="00A6601C" w:rsidRDefault="00E30456" w:rsidP="00FE59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30456" w:rsidRPr="00940E9A" w:rsidRDefault="00E30456" w:rsidP="00FE59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30456" w:rsidRPr="00551494" w:rsidTr="00FE59CE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30456" w:rsidRPr="00940E9A" w:rsidRDefault="00E30456" w:rsidP="00FE59C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E30456" w:rsidRPr="002D4C0F" w:rsidRDefault="00E30456" w:rsidP="00E30456"/>
    <w:p w:rsidR="009813FE" w:rsidRDefault="009813FE"/>
    <w:sectPr w:rsidR="009813F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30456"/>
    <w:rsid w:val="003F7EAA"/>
    <w:rsid w:val="009052A9"/>
    <w:rsid w:val="009813FE"/>
    <w:rsid w:val="00E30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2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2020-12-25T14:20:00Z</dcterms:created>
  <dcterms:modified xsi:type="dcterms:W3CDTF">2020-12-25T15:00:00Z</dcterms:modified>
</cp:coreProperties>
</file>