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FE0CDA5" w:rsidR="0093191F" w:rsidRPr="00AD47DF" w:rsidRDefault="0093191F" w:rsidP="0093191F">
            <w:pPr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AD47D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Latn-RS" w:eastAsia="sr-Latn-CS"/>
              </w:rPr>
              <w:t>20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D241A21" w:rsidR="0093191F" w:rsidRPr="00AD47DF" w:rsidRDefault="007B0DB4" w:rsidP="00F44C77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3.</w:t>
            </w:r>
            <w:r w:rsidR="00AD47DF">
              <w:rPr>
                <w:rFonts w:ascii="Cambria" w:hAnsi="Cambria"/>
                <w:lang w:val="sr-Latn-RS" w:eastAsia="sr-Latn-CS"/>
              </w:rPr>
              <w:t>4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="00AD47DF">
              <w:rPr>
                <w:rFonts w:ascii="Cambria" w:hAnsi="Cambria"/>
                <w:lang w:val="sr-Cyrl-RS" w:eastAsia="sr-Latn-CS"/>
              </w:rPr>
              <w:t>ВЛАДАВИНА НАМЕСНИШТВА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1C64C777" w:rsidR="0093191F" w:rsidRPr="008A2BED" w:rsidRDefault="00AD47D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254BC7">
        <w:trPr>
          <w:trHeight w:val="931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4256EC2E" w:rsidR="00AA2D03" w:rsidRPr="002E60E5" w:rsidRDefault="00AD47DF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 политичким приликама у Краљевини Југославији након атентата у Марсељу тј. са владом Милана Стојадиновића, стварањем Бановине Хрватске и спољном политиком владе Цветковић</w:t>
            </w:r>
            <w:r w:rsidR="00305BBE">
              <w:rPr>
                <w:rFonts w:ascii="Cambria" w:hAnsi="Cambria"/>
                <w:lang w:val="sr-Cyrl-RS"/>
              </w:rPr>
              <w:t>–</w:t>
            </w:r>
            <w:r>
              <w:rPr>
                <w:rFonts w:ascii="Cambria" w:hAnsi="Cambria"/>
                <w:lang w:val="sr-Cyrl-RS"/>
              </w:rPr>
              <w:t>Мачек.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305BBE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305BBE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557F697B" w14:textId="39471C9E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AD47DF">
              <w:rPr>
                <w:rFonts w:ascii="Cambria" w:hAnsi="Cambria"/>
                <w:lang w:val="sr-Cyrl-RS"/>
              </w:rPr>
              <w:t xml:space="preserve"> значај и улогу Милана Стојадиновића,</w:t>
            </w:r>
          </w:p>
          <w:p w14:paraId="48881E16" w14:textId="113BDC2A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AD47DF">
              <w:rPr>
                <w:rFonts w:ascii="Cambria" w:hAnsi="Cambria"/>
                <w:lang w:val="sr-Cyrl-RS"/>
              </w:rPr>
              <w:t xml:space="preserve"> унутрашњу политику владе Милана Стојадиновића,</w:t>
            </w:r>
          </w:p>
          <w:p w14:paraId="47C6334C" w14:textId="141A7D44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 xml:space="preserve">сне </w:t>
            </w:r>
            <w:r w:rsidRPr="00AD47DF">
              <w:rPr>
                <w:rFonts w:ascii="Cambria" w:hAnsi="Cambria"/>
                <w:lang w:val="sr-Cyrl-RS"/>
              </w:rPr>
              <w:t>зашто је дошло до Конкордатске кризе,</w:t>
            </w:r>
          </w:p>
          <w:p w14:paraId="6E4D3E3B" w14:textId="160E24B6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>сне</w:t>
            </w:r>
            <w:r w:rsidRPr="00AD47DF">
              <w:rPr>
                <w:rFonts w:ascii="Cambria" w:hAnsi="Cambria"/>
                <w:lang w:val="sr-Cyrl-RS"/>
              </w:rPr>
              <w:t xml:space="preserve"> зашто је створена Бановина Хрватска,</w:t>
            </w:r>
          </w:p>
          <w:p w14:paraId="26F54EBA" w14:textId="34BDE1CA" w:rsidR="00AD47DF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опи</w:t>
            </w:r>
            <w:r>
              <w:rPr>
                <w:rFonts w:ascii="Cambria" w:hAnsi="Cambria"/>
                <w:lang w:val="sr-Cyrl-RS"/>
              </w:rPr>
              <w:t>шу</w:t>
            </w:r>
            <w:r w:rsidRPr="00AD47DF">
              <w:rPr>
                <w:rFonts w:ascii="Cambria" w:hAnsi="Cambria"/>
                <w:lang w:val="sr-Cyrl-RS"/>
              </w:rPr>
              <w:t xml:space="preserve"> одлике спољне политике владе Цветковић</w:t>
            </w:r>
            <w:r w:rsidR="006F1191">
              <w:rPr>
                <w:rFonts w:ascii="Cambria" w:hAnsi="Cambria"/>
                <w:lang w:val="sr-Cyrl-RS"/>
              </w:rPr>
              <w:t>–</w:t>
            </w:r>
            <w:r w:rsidRPr="00AD47DF">
              <w:rPr>
                <w:rFonts w:ascii="Cambria" w:hAnsi="Cambria"/>
                <w:lang w:val="sr-Cyrl-RS"/>
              </w:rPr>
              <w:t>Мачек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5D6DDEAF" w14:textId="0D7DDD56" w:rsidR="000B05C0" w:rsidRPr="00AD47DF" w:rsidRDefault="00AD47DF" w:rsidP="00AD47DF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AD47DF">
              <w:rPr>
                <w:rFonts w:ascii="Cambria" w:hAnsi="Cambria"/>
                <w:lang w:val="sr-Cyrl-RS"/>
              </w:rPr>
              <w:t>разуме</w:t>
            </w:r>
            <w:r>
              <w:rPr>
                <w:rFonts w:ascii="Cambria" w:hAnsi="Cambria"/>
                <w:lang w:val="sr-Cyrl-RS"/>
              </w:rPr>
              <w:t>ју</w:t>
            </w:r>
            <w:r w:rsidRPr="00AD47DF">
              <w:rPr>
                <w:rFonts w:ascii="Cambria" w:hAnsi="Cambria"/>
                <w:lang w:val="sr-Cyrl-RS"/>
              </w:rPr>
              <w:t xml:space="preserve"> зашто је Југославија приступила Тројном пакту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E916FEE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7B0DB4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49BF51EE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AD47D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4BB6EE3A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738BCE5B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F1191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2387A4A7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0B05C0">
              <w:rPr>
                <w:rFonts w:ascii="Cambria" w:hAnsi="Cambria"/>
                <w:lang w:val="sr-Cyrl-RS" w:eastAsia="sr-Latn-CS"/>
              </w:rPr>
              <w:t>сарадња</w:t>
            </w:r>
            <w:r w:rsidR="00810422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326A28DB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D96A8F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4BC3D23" w14:textId="64A66E24" w:rsidR="003A7433" w:rsidRDefault="003A7433" w:rsidP="003A743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 xml:space="preserve">саопштава да ће </w:t>
            </w:r>
            <w:r w:rsidR="00810422">
              <w:rPr>
                <w:rFonts w:ascii="Cambria" w:hAnsi="Cambria"/>
                <w:color w:val="000000"/>
                <w:lang w:val="sr-Cyrl-CS" w:eastAsia="sr-Latn-CS"/>
              </w:rPr>
              <w:t xml:space="preserve">се на овом часу упознати </w:t>
            </w:r>
            <w:r w:rsidR="00810422" w:rsidRPr="00810422">
              <w:rPr>
                <w:rFonts w:ascii="Cambria" w:hAnsi="Cambria"/>
                <w:color w:val="000000"/>
                <w:lang w:val="sr-Cyrl-CS" w:eastAsia="sr-Latn-CS"/>
              </w:rPr>
              <w:t>са политичким приликама у Краљевини Југославији након атентата у Марсељу тј. са владом Милана Стојадиновића, стварањем Бановине Хрватске и спољном политиком владе Цветковић</w:t>
            </w:r>
            <w:r w:rsidR="00CC5AC8">
              <w:rPr>
                <w:rFonts w:ascii="Cambria" w:hAnsi="Cambria"/>
                <w:color w:val="000000"/>
                <w:lang w:val="sr-Cyrl-CS" w:eastAsia="sr-Latn-CS"/>
              </w:rPr>
              <w:t>–</w:t>
            </w:r>
            <w:r w:rsidR="00810422" w:rsidRPr="00810422">
              <w:rPr>
                <w:rFonts w:ascii="Cambria" w:hAnsi="Cambria"/>
                <w:color w:val="000000"/>
                <w:lang w:val="sr-Cyrl-CS" w:eastAsia="sr-Latn-CS"/>
              </w:rPr>
              <w:t>Мачек.</w:t>
            </w:r>
            <w:r w:rsidR="00810422">
              <w:rPr>
                <w:rFonts w:ascii="Cambria" w:hAnsi="Cambria"/>
                <w:color w:val="000000"/>
                <w:lang w:val="sr-Cyrl-CS" w:eastAsia="sr-Latn-CS"/>
              </w:rPr>
              <w:t xml:space="preserve"> Пише наслов лекције на табли и поставља ученицима следећа питања:</w:t>
            </w:r>
          </w:p>
          <w:p w14:paraId="001F73FC" w14:textId="77777777" w:rsidR="00D96A8F" w:rsidRDefault="00D96A8F" w:rsidP="00D96A8F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Где је и када извршен атентат на краља Александра?</w:t>
            </w:r>
          </w:p>
          <w:p w14:paraId="0FFE13FB" w14:textId="4BA610E9" w:rsidR="00810422" w:rsidRDefault="00810422" w:rsidP="00810422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је и зашто извршио атентат на краља Александра?</w:t>
            </w:r>
          </w:p>
          <w:p w14:paraId="65CF8C06" w14:textId="387D71FF" w:rsidR="00810422" w:rsidRDefault="00810422" w:rsidP="00810422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Ко је наследио краља Александра након атентата у Марсељу?</w:t>
            </w:r>
          </w:p>
          <w:p w14:paraId="3F8B239F" w14:textId="636EEC80" w:rsidR="00810422" w:rsidRPr="00810422" w:rsidRDefault="00810422" w:rsidP="00810422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Ко је владао уместо малолетног Петра </w:t>
            </w:r>
            <w:r>
              <w:rPr>
                <w:rFonts w:ascii="Cambria" w:hAnsi="Cambria"/>
                <w:color w:val="000000"/>
                <w:lang w:eastAsia="sr-Latn-CS"/>
              </w:rPr>
              <w:t>II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?</w:t>
            </w:r>
          </w:p>
          <w:p w14:paraId="26718A5B" w14:textId="266CFBFB" w:rsidR="00810422" w:rsidRPr="00810422" w:rsidRDefault="00810422" w:rsidP="003A7433">
            <w:pPr>
              <w:pStyle w:val="ListParagraph"/>
              <w:numPr>
                <w:ilvl w:val="0"/>
                <w:numId w:val="7"/>
              </w:num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Објасни</w:t>
            </w:r>
            <w:r w:rsidR="00D347AA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улогу и задатак Намесништва</w:t>
            </w:r>
            <w:r w:rsidR="00D347AA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7A184B3C" w14:textId="3E0B9384" w:rsidR="003A7433" w:rsidRDefault="00A27DF3" w:rsidP="003A743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дели ученике у </w:t>
            </w:r>
            <w:r w:rsidR="00810422">
              <w:rPr>
                <w:rFonts w:ascii="Cambria" w:hAnsi="Cambria"/>
                <w:color w:val="000000"/>
                <w:lang w:val="sr-Cyrl-RS" w:eastAsia="sr-Latn-CS"/>
              </w:rPr>
              <w:t xml:space="preserve">пет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група</w:t>
            </w:r>
            <w:r w:rsidR="00D347AA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водећи рачуна да у свакој групи буде и бољих и слабијих ученика.</w:t>
            </w:r>
          </w:p>
          <w:p w14:paraId="75FC6882" w14:textId="77777777" w:rsidR="003A7433" w:rsidRDefault="003A7433" w:rsidP="003A7433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F422F92" w14:textId="0D3ED584" w:rsidR="003A7433" w:rsidRPr="001868DC" w:rsidRDefault="003A7433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D96A8F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717028C9" w14:textId="1600CDE5" w:rsidR="006114AA" w:rsidRDefault="00136D80" w:rsidP="006114AA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 xml:space="preserve">Наставник 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 xml:space="preserve">објашњава задатке.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Ученици свих пет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група има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ју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задатак да прочита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ју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одељак лекције који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им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је додељен, да у њему подвуку најважније реченице, </w:t>
            </w:r>
            <w:r w:rsidR="006C6632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потом формулишу неколико кључних теза и запишу их</w:t>
            </w:r>
            <w:r w:rsidR="00D96A8F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75612AAA" w14:textId="053042AC" w:rsidR="003A7433" w:rsidRDefault="006114AA" w:rsidP="006114AA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Додељује групама делове лекције (одељке) </w:t>
            </w:r>
            <w:r w:rsidR="00D96A8F">
              <w:rPr>
                <w:rFonts w:ascii="Cambria" w:hAnsi="Cambria"/>
                <w:color w:val="000000"/>
                <w:lang w:val="sr-Cyrl-RS" w:eastAsia="sr-Latn-CS"/>
              </w:rPr>
              <w:t>и саопштава да за рад имају 1</w:t>
            </w:r>
            <w:r w:rsidR="00CE780C">
              <w:rPr>
                <w:rFonts w:ascii="Cambria" w:hAnsi="Cambria"/>
                <w:color w:val="000000"/>
                <w:lang w:val="sr-Cyrl-RS" w:eastAsia="sr-Latn-CS"/>
              </w:rPr>
              <w:t>0</w:t>
            </w:r>
            <w:r w:rsidR="00D96A8F">
              <w:rPr>
                <w:rFonts w:ascii="Cambria" w:hAnsi="Cambria"/>
                <w:color w:val="000000"/>
                <w:lang w:val="sr-Cyrl-RS" w:eastAsia="sr-Latn-CS"/>
              </w:rPr>
              <w:t xml:space="preserve"> минута.</w:t>
            </w:r>
          </w:p>
          <w:p w14:paraId="0AD78A51" w14:textId="1E24EE1F" w:rsidR="006114AA" w:rsidRDefault="002F1BF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Прв</w:t>
            </w:r>
            <w:r w:rsidR="00810422">
              <w:rPr>
                <w:rFonts w:ascii="Cambria" w:hAnsi="Cambria"/>
                <w:b/>
                <w:color w:val="000000"/>
                <w:lang w:val="sr-Cyrl-RS" w:eastAsia="sr-Latn-CS"/>
              </w:rPr>
              <w:t>а</w:t>
            </w:r>
            <w:r w:rsidR="003A7433" w:rsidRPr="002A606B"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</w:t>
            </w:r>
            <w:r w:rsidR="00810422">
              <w:rPr>
                <w:rFonts w:ascii="Cambria" w:hAnsi="Cambria"/>
                <w:b/>
                <w:color w:val="000000"/>
                <w:lang w:val="sr-Cyrl-RS" w:eastAsia="sr-Latn-CS"/>
              </w:rPr>
              <w:t>група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–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уводни део</w:t>
            </w:r>
            <w:r w:rsidR="006C6632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одељак </w:t>
            </w:r>
            <w:r w:rsidR="006114AA" w:rsidRPr="006114AA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Влада Милана Стојадиновића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и биографиј</w:t>
            </w:r>
            <w:r w:rsidR="002E2AA7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Милана Стојадиновића </w:t>
            </w:r>
            <w:r w:rsidR="006114AA" w:rsidRPr="006C663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на странама 66 и 67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</w:t>
            </w:r>
          </w:p>
          <w:p w14:paraId="38759868" w14:textId="075B0E95" w:rsidR="002F1BFA" w:rsidRDefault="002F1BF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Друг</w:t>
            </w:r>
            <w:r w:rsidR="006114AA">
              <w:rPr>
                <w:rFonts w:ascii="Cambria" w:hAnsi="Cambria"/>
                <w:b/>
                <w:color w:val="000000"/>
                <w:lang w:val="sr-Cyrl-RS" w:eastAsia="sr-Latn-CS"/>
              </w:rPr>
              <w:t>а</w:t>
            </w: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b/>
                <w:color w:val="000000"/>
                <w:lang w:val="sr-Cyrl-RS" w:eastAsia="sr-Latn-CS"/>
              </w:rPr>
              <w:t>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–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одељак </w:t>
            </w:r>
            <w:r w:rsidR="006114AA"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Конкордатска к</w:t>
            </w:r>
            <w:r w:rsidR="00136D80"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р</w:t>
            </w:r>
            <w:r w:rsidR="006114AA"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иза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="006114AA" w:rsidRPr="006C663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67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и текст </w:t>
            </w:r>
            <w:r w:rsidR="006114AA"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За радознале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 xml:space="preserve"> на врху </w:t>
            </w:r>
            <w:r w:rsidR="006114AA" w:rsidRPr="006C663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стране 68</w:t>
            </w:r>
            <w:r w:rsidR="006114AA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3AC3825C" w14:textId="4F90D35E" w:rsidR="006114AA" w:rsidRDefault="006114A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36D8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Трећа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– одељак </w:t>
            </w:r>
            <w:r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Пад Милана Стојадиновића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историјски извор на </w:t>
            </w:r>
            <w:r w:rsidRPr="006C663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68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0209903F" w14:textId="31843917" w:rsidR="006114AA" w:rsidRDefault="006114A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36D8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Четврта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– одељак </w:t>
            </w:r>
            <w:r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Бановина Хрватска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 </w:t>
            </w:r>
            <w:r w:rsidRPr="006C663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68 и 69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</w:t>
            </w:r>
            <w:r w:rsidR="00850162">
              <w:rPr>
                <w:rFonts w:ascii="Cambria" w:hAnsi="Cambria"/>
                <w:color w:val="000000"/>
                <w:lang w:val="sr-Cyrl-RS" w:eastAsia="sr-Latn-CS"/>
              </w:rPr>
              <w:t>џ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беника</w:t>
            </w:r>
          </w:p>
          <w:p w14:paraId="05F27CCB" w14:textId="1CCF82FC" w:rsidR="006114AA" w:rsidRDefault="006114A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136D80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Пета група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– одељак </w:t>
            </w:r>
            <w:r w:rsidRPr="00136D80">
              <w:rPr>
                <w:rFonts w:ascii="Cambria" w:hAnsi="Cambria"/>
                <w:i/>
                <w:iCs/>
                <w:color w:val="000000"/>
                <w:lang w:val="sr-Cyrl-RS" w:eastAsia="sr-Latn-CS"/>
              </w:rPr>
              <w:t>Спољна политика владе Цветковић–Мачек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и биографиј</w:t>
            </w:r>
            <w:r w:rsidR="006F0C10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краља Петра на </w:t>
            </w:r>
            <w:r w:rsidRPr="006C6632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странама 69 и 70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</w:t>
            </w:r>
          </w:p>
          <w:p w14:paraId="6E18479C" w14:textId="77777777" w:rsidR="006114AA" w:rsidRDefault="006114A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FF7B21C" w14:textId="30B6540B" w:rsidR="00136D80" w:rsidRDefault="002F1BF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Ученици раде задатак</w:t>
            </w:r>
            <w:r w:rsidR="00136D80">
              <w:rPr>
                <w:rFonts w:ascii="Cambria" w:hAnsi="Cambria"/>
                <w:color w:val="000000"/>
                <w:lang w:val="sr-Cyrl-RS" w:eastAsia="sr-Latn-CS"/>
              </w:rPr>
              <w:t>е, читају додељене делове лекције, подвлаче, формулишу тезе. Наставник их обилази, контролише да тезе буду кључне</w:t>
            </w:r>
            <w:r w:rsidR="00CE780C">
              <w:rPr>
                <w:rFonts w:ascii="Cambria" w:hAnsi="Cambria"/>
                <w:color w:val="000000"/>
                <w:lang w:val="sr-Cyrl-RS" w:eastAsia="sr-Latn-CS"/>
              </w:rPr>
              <w:t xml:space="preserve"> и прецизне и </w:t>
            </w:r>
            <w:r w:rsidR="00C55209">
              <w:rPr>
                <w:rFonts w:ascii="Cambria" w:hAnsi="Cambria"/>
                <w:color w:val="000000"/>
                <w:lang w:val="sr-Cyrl-RS" w:eastAsia="sr-Latn-CS"/>
              </w:rPr>
              <w:t>помаже им уколико је потребно</w:t>
            </w:r>
            <w:r w:rsidR="00F57E83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3811C624" w14:textId="77777777" w:rsidR="00136D80" w:rsidRDefault="00136D80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24A909D9" w14:textId="77777777" w:rsidR="00C77920" w:rsidRDefault="002F1BFA" w:rsidP="00C77920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заврше са радом</w:t>
            </w:r>
            <w:r w:rsidR="00C77920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C55209">
              <w:rPr>
                <w:rFonts w:ascii="Cambria" w:hAnsi="Cambria"/>
                <w:color w:val="000000"/>
                <w:lang w:val="sr-Cyrl-RS" w:eastAsia="sr-Latn-CS"/>
              </w:rPr>
              <w:t>најпре прва група осталим ученицима презентуј</w:t>
            </w:r>
            <w:r w:rsidR="00C77920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="00C55209">
              <w:rPr>
                <w:rFonts w:ascii="Cambria" w:hAnsi="Cambria"/>
                <w:color w:val="000000"/>
                <w:lang w:val="sr-Cyrl-RS" w:eastAsia="sr-Latn-CS"/>
              </w:rPr>
              <w:t xml:space="preserve"> резултате рада, препричава прочитани одељак, скрећ</w:t>
            </w:r>
            <w:r w:rsidR="00C77920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="00C55209">
              <w:rPr>
                <w:rFonts w:ascii="Cambria" w:hAnsi="Cambria"/>
                <w:color w:val="000000"/>
                <w:lang w:val="sr-Cyrl-RS" w:eastAsia="sr-Latn-CS"/>
              </w:rPr>
              <w:t xml:space="preserve"> пажњу на кључне садржаје</w:t>
            </w:r>
            <w:r w:rsidR="00E241DE">
              <w:rPr>
                <w:rFonts w:ascii="Cambria" w:hAnsi="Cambria"/>
                <w:color w:val="000000"/>
                <w:lang w:val="sr-Cyrl-RS" w:eastAsia="sr-Latn-CS"/>
              </w:rPr>
              <w:t xml:space="preserve"> и </w:t>
            </w:r>
            <w:r w:rsidR="00C55209">
              <w:rPr>
                <w:rFonts w:ascii="Cambria" w:hAnsi="Cambria"/>
                <w:color w:val="000000"/>
                <w:lang w:val="sr-Cyrl-RS" w:eastAsia="sr-Latn-CS"/>
              </w:rPr>
              <w:t>записуј</w:t>
            </w:r>
            <w:r w:rsidR="00C77920">
              <w:rPr>
                <w:rFonts w:ascii="Cambria" w:hAnsi="Cambria"/>
                <w:color w:val="000000"/>
                <w:lang w:val="sr-Cyrl-RS" w:eastAsia="sr-Latn-CS"/>
              </w:rPr>
              <w:t>е</w:t>
            </w:r>
            <w:r w:rsidR="00C55209">
              <w:rPr>
                <w:rFonts w:ascii="Cambria" w:hAnsi="Cambria"/>
                <w:color w:val="000000"/>
                <w:lang w:val="sr-Cyrl-RS" w:eastAsia="sr-Latn-CS"/>
              </w:rPr>
              <w:t xml:space="preserve"> на табли кључне тезе</w:t>
            </w:r>
            <w:r w:rsidR="00E241DE"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C55209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14:paraId="410C92A1" w14:textId="1C6D3578" w:rsidR="002F1BFA" w:rsidRDefault="00E241DE" w:rsidP="00D96A8F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</w:t>
            </w:r>
            <w:r w:rsidR="00D96A8F">
              <w:rPr>
                <w:rFonts w:ascii="Cambria" w:hAnsi="Cambria"/>
                <w:color w:val="000000"/>
                <w:lang w:val="sr-Cyrl-RS" w:eastAsia="sr-Latn-CS"/>
              </w:rPr>
              <w:t>презентују редом и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остале групе</w:t>
            </w:r>
            <w:r w:rsidR="00D96A8F">
              <w:rPr>
                <w:rFonts w:ascii="Cambria" w:hAnsi="Cambria"/>
                <w:color w:val="000000"/>
                <w:lang w:val="sr-Cyrl-RS" w:eastAsia="sr-Latn-CS"/>
              </w:rPr>
              <w:t xml:space="preserve">. </w:t>
            </w:r>
          </w:p>
          <w:p w14:paraId="617EEFB5" w14:textId="77777777" w:rsidR="00C55209" w:rsidRDefault="00C55209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265FAD19" w14:textId="6B88284D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F806E8D" w14:textId="77777777" w:rsidR="003A7433" w:rsidRDefault="003A7433" w:rsidP="003A7433">
            <w:pPr>
              <w:jc w:val="both"/>
              <w:rPr>
                <w:rFonts w:ascii="Cambria" w:hAnsi="Cambria"/>
                <w:lang w:val="sr-Cyrl-RS"/>
              </w:rPr>
            </w:pPr>
          </w:p>
          <w:p w14:paraId="3D1DE23A" w14:textId="77777777" w:rsidR="003A7433" w:rsidRDefault="003A7433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оцењује ученике и похваљује најуспешније.</w:t>
            </w:r>
          </w:p>
          <w:p w14:paraId="3E7C9E17" w14:textId="77777777" w:rsidR="003A7433" w:rsidRDefault="003A7433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</w:p>
          <w:p w14:paraId="0D90A545" w14:textId="4E3E1EF3" w:rsidR="005A6E8C" w:rsidRPr="002C351E" w:rsidRDefault="00D96A8F" w:rsidP="00D96A8F">
            <w:pPr>
              <w:spacing w:after="24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D96A8F">
              <w:rPr>
                <w:rFonts w:ascii="Cambria" w:hAnsi="Cambria"/>
                <w:color w:val="000000"/>
                <w:lang w:val="sr-Cyrl-CS" w:eastAsia="sr-Latn-CS"/>
              </w:rPr>
              <w:t xml:space="preserve">Наставник позива ученике да усмено одговоре на питања из одељака </w:t>
            </w:r>
            <w:r w:rsidRPr="00C77920">
              <w:rPr>
                <w:rFonts w:ascii="Cambria" w:hAnsi="Cambria"/>
                <w:b/>
                <w:bCs/>
                <w:i/>
                <w:iCs/>
                <w:color w:val="000000"/>
                <w:lang w:val="sr-Cyrl-CS" w:eastAsia="sr-Latn-CS"/>
              </w:rPr>
              <w:t>Провери своје знање</w:t>
            </w:r>
            <w:r w:rsidRPr="00D96A8F">
              <w:rPr>
                <w:rFonts w:ascii="Cambria" w:hAnsi="Cambria"/>
                <w:color w:val="000000"/>
                <w:lang w:val="sr-Cyrl-CS" w:eastAsia="sr-Latn-CS"/>
              </w:rPr>
              <w:t xml:space="preserve">, на </w:t>
            </w:r>
            <w:r w:rsidRPr="00C77920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>страни 70</w:t>
            </w:r>
            <w:r w:rsidRPr="00D96A8F">
              <w:rPr>
                <w:rFonts w:ascii="Cambria" w:hAnsi="Cambria"/>
                <w:color w:val="000000"/>
                <w:lang w:val="sr-Cyrl-CS" w:eastAsia="sr-Latn-CS"/>
              </w:rPr>
              <w:t xml:space="preserve"> уџбеника. Ученици се јављају и одговарају на питања, наставник прати и проверава тачност одговора.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B2435C4" w14:textId="172F7D44" w:rsidR="00F57E83" w:rsidRDefault="00F57E83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F57E83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504335"/>
    <w:multiLevelType w:val="hybridMultilevel"/>
    <w:tmpl w:val="0BDA14E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92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D67F1"/>
    <w:rsid w:val="000D6E35"/>
    <w:rsid w:val="000E49E6"/>
    <w:rsid w:val="000F0B1F"/>
    <w:rsid w:val="000F4F3D"/>
    <w:rsid w:val="000F6517"/>
    <w:rsid w:val="00117824"/>
    <w:rsid w:val="001217F2"/>
    <w:rsid w:val="00136D80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54BC7"/>
    <w:rsid w:val="00265BF5"/>
    <w:rsid w:val="00271038"/>
    <w:rsid w:val="002756B1"/>
    <w:rsid w:val="00283DB9"/>
    <w:rsid w:val="002875FC"/>
    <w:rsid w:val="002A0528"/>
    <w:rsid w:val="002C12DB"/>
    <w:rsid w:val="002C351E"/>
    <w:rsid w:val="002C6E3D"/>
    <w:rsid w:val="002D4C0F"/>
    <w:rsid w:val="002E2A18"/>
    <w:rsid w:val="002E2AA7"/>
    <w:rsid w:val="002E55BD"/>
    <w:rsid w:val="002E60E5"/>
    <w:rsid w:val="002E69AA"/>
    <w:rsid w:val="002F07A2"/>
    <w:rsid w:val="002F1BFA"/>
    <w:rsid w:val="003019D8"/>
    <w:rsid w:val="0030530C"/>
    <w:rsid w:val="00305BBE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14AA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803D2"/>
    <w:rsid w:val="00694769"/>
    <w:rsid w:val="006A0B0F"/>
    <w:rsid w:val="006C0E53"/>
    <w:rsid w:val="006C6632"/>
    <w:rsid w:val="006D4A83"/>
    <w:rsid w:val="006E3084"/>
    <w:rsid w:val="006F0C10"/>
    <w:rsid w:val="006F1191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01C9"/>
    <w:rsid w:val="007667A8"/>
    <w:rsid w:val="0077000C"/>
    <w:rsid w:val="00776E3D"/>
    <w:rsid w:val="00784701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0422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50162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27DF3"/>
    <w:rsid w:val="00A40CED"/>
    <w:rsid w:val="00A45390"/>
    <w:rsid w:val="00A51F7B"/>
    <w:rsid w:val="00A663E6"/>
    <w:rsid w:val="00A7214C"/>
    <w:rsid w:val="00A755C6"/>
    <w:rsid w:val="00A82D0C"/>
    <w:rsid w:val="00A85611"/>
    <w:rsid w:val="00AA2D03"/>
    <w:rsid w:val="00AA3F97"/>
    <w:rsid w:val="00AA5F3D"/>
    <w:rsid w:val="00AC2772"/>
    <w:rsid w:val="00AC5F2E"/>
    <w:rsid w:val="00AD47DF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00742"/>
    <w:rsid w:val="00C13E57"/>
    <w:rsid w:val="00C228F6"/>
    <w:rsid w:val="00C2530E"/>
    <w:rsid w:val="00C33A9D"/>
    <w:rsid w:val="00C42E89"/>
    <w:rsid w:val="00C55209"/>
    <w:rsid w:val="00C6105F"/>
    <w:rsid w:val="00C66F45"/>
    <w:rsid w:val="00C72170"/>
    <w:rsid w:val="00C7626C"/>
    <w:rsid w:val="00C76BBE"/>
    <w:rsid w:val="00C77920"/>
    <w:rsid w:val="00C824C2"/>
    <w:rsid w:val="00CA3AF3"/>
    <w:rsid w:val="00CA59BB"/>
    <w:rsid w:val="00CA6648"/>
    <w:rsid w:val="00CB1C9F"/>
    <w:rsid w:val="00CC18D3"/>
    <w:rsid w:val="00CC5AC8"/>
    <w:rsid w:val="00CD4214"/>
    <w:rsid w:val="00CE56B7"/>
    <w:rsid w:val="00CE780C"/>
    <w:rsid w:val="00CF2C8B"/>
    <w:rsid w:val="00D015CB"/>
    <w:rsid w:val="00D03E7C"/>
    <w:rsid w:val="00D14BEC"/>
    <w:rsid w:val="00D163D2"/>
    <w:rsid w:val="00D23BEB"/>
    <w:rsid w:val="00D347AA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A8F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41DE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86FE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44C77"/>
    <w:rsid w:val="00F57E83"/>
    <w:rsid w:val="00F6171E"/>
    <w:rsid w:val="00F6264D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2021-08-10T12:56:00Z</dcterms:created>
  <dcterms:modified xsi:type="dcterms:W3CDTF">2021-08-10T12:56:00Z</dcterms:modified>
</cp:coreProperties>
</file>