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20058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20058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20058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20058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0058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CB7C4C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40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У ДРУГОЈ ПОЛОВИНИ XIX  ВЕКА</w:t>
            </w:r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 xml:space="preserve">ЕВРОПА И СВЕТ У ДРУГОЈ ПОЛОВИНИ XIX  ВЕКА -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Систематизација</w:t>
            </w:r>
            <w:proofErr w:type="spellEnd"/>
          </w:p>
        </w:tc>
      </w:tr>
      <w:tr w:rsidR="00200585">
        <w:trPr>
          <w:trHeight w:val="104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револуцијама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1848/49, </w:t>
            </w:r>
            <w:proofErr w:type="spellStart"/>
            <w:r>
              <w:rPr>
                <w:rFonts w:ascii="Cambria" w:eastAsia="Cambria" w:hAnsi="Cambria" w:cs="Cambria"/>
              </w:rPr>
              <w:t>настанку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Немачке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успону</w:t>
            </w:r>
            <w:proofErr w:type="spellEnd"/>
            <w:r>
              <w:rPr>
                <w:rFonts w:ascii="Cambria" w:eastAsia="Cambria" w:hAnsi="Cambria" w:cs="Cambria"/>
              </w:rPr>
              <w:t xml:space="preserve"> САД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променама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настале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привреди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друштву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култури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крајем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200585" w:rsidTr="00FB42B0">
        <w:trPr>
          <w:trHeight w:val="170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0B0EC2" w:rsidRDefault="000B46E4" w:rsidP="000B46E4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наведу разлоге и ток револуција 1848/49. године у Европи</w:t>
            </w:r>
          </w:p>
          <w:p w:rsidR="000B46E4" w:rsidRDefault="000B46E4" w:rsidP="000B46E4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објасне како је дошло до уједињења Италије и уједењења Немачке</w:t>
            </w:r>
          </w:p>
          <w:p w:rsidR="000B46E4" w:rsidRDefault="000B46E4" w:rsidP="000B46E4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опишу који су догађаји из друге половине XIX века утицали на политичке и друштвене промене у Европи и свету</w:t>
            </w:r>
          </w:p>
          <w:p w:rsidR="00200585" w:rsidRPr="00FB42B0" w:rsidRDefault="000B46E4" w:rsidP="00FB42B0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наброје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најзначајније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изуме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друге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индустријске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Испитивање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писаном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облику</w:t>
            </w:r>
            <w:proofErr w:type="spellEnd"/>
          </w:p>
        </w:tc>
      </w:tr>
      <w:tr w:rsidR="0020058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Припремљен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</w:t>
            </w:r>
            <w:proofErr w:type="spellEnd"/>
            <w:r>
              <w:rPr>
                <w:rFonts w:ascii="Cambria" w:eastAsia="Cambria" w:hAnsi="Cambria" w:cs="Cambria"/>
              </w:rPr>
              <w:t xml:space="preserve">. 3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Европа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свет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у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другој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половини</w:t>
            </w:r>
            <w:proofErr w:type="spellEnd"/>
            <w:r w:rsidRPr="00546C5C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Pr="00546C5C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hyperlink r:id="rId6">
              <w:r>
                <w:rPr>
                  <w:rFonts w:ascii="Cambria" w:eastAsia="Cambria" w:hAnsi="Cambria" w:cs="Cambria"/>
                  <w:color w:val="0000FF"/>
                  <w:u w:val="single"/>
                </w:rPr>
                <w:t>www.datadidakta.rs</w:t>
              </w:r>
            </w:hyperlink>
            <w:r>
              <w:t xml:space="preserve"> )</w:t>
            </w:r>
          </w:p>
        </w:tc>
      </w:tr>
      <w:tr w:rsidR="00200585" w:rsidRPr="00546C5C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подацима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решавање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проблема</w:t>
            </w:r>
            <w:proofErr w:type="spellEnd"/>
          </w:p>
        </w:tc>
      </w:tr>
      <w:tr w:rsidR="0020058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20058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Европа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свет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другој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i/>
                <w:color w:val="000000"/>
              </w:rPr>
              <w:t>половини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 XIX</w:t>
            </w:r>
            <w:proofErr w:type="gramEnd"/>
            <w:r>
              <w:rPr>
                <w:rFonts w:ascii="Cambria" w:eastAsia="Cambria" w:hAnsi="Cambria" w:cs="Cambria"/>
                <w:i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.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(А и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35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обилази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објашњења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још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урађене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,</w:t>
            </w:r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lastRenderedPageBreak/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0B0EC2" w:rsidRPr="000B0EC2" w:rsidRDefault="000B0EC2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200585" w:rsidRPr="000B0EC2" w:rsidRDefault="00546C5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дели учени</w:t>
            </w:r>
            <w:r w:rsidR="000B46E4">
              <w:rPr>
                <w:rFonts w:ascii="Cambria" w:eastAsia="Cambria" w:hAnsi="Cambria" w:cs="Cambria"/>
              </w:rPr>
              <w:t>цима стикере на којима они уписују</w:t>
            </w:r>
            <w:r>
              <w:rPr>
                <w:rFonts w:ascii="Cambria" w:eastAsia="Cambria" w:hAnsi="Cambria" w:cs="Cambria"/>
              </w:rPr>
              <w:t xml:space="preserve"> име и презиме и срећан смајли, ако сматрају да су урадили тес</w:t>
            </w:r>
            <w:r w:rsidR="000B0EC2">
              <w:rPr>
                <w:rFonts w:ascii="Cambria" w:eastAsia="Cambria" w:hAnsi="Cambria" w:cs="Cambria"/>
              </w:rPr>
              <w:t xml:space="preserve">т одлично или врло добро, равнодушан смајли, ако сматрају да су урадили тест добро или тужан смајли, ако сматрају да су урадили тест задовољавајуће. </w:t>
            </w:r>
          </w:p>
          <w:p w:rsidR="00200585" w:rsidRPr="000B0EC2" w:rsidRDefault="000B46E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="000B0EC2">
              <w:rPr>
                <w:rFonts w:ascii="Cambria" w:eastAsia="Cambria" w:hAnsi="Cambria" w:cs="Cambria"/>
              </w:rPr>
              <w:t>у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урадили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тест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на</w:t>
            </w:r>
            <w:proofErr w:type="spellEnd"/>
            <w:r w:rsidR="000B0EC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B0EC2">
              <w:rPr>
                <w:rFonts w:ascii="Cambria" w:eastAsia="Cambria" w:hAnsi="Cambria" w:cs="Cambria"/>
              </w:rPr>
              <w:t>стикерима</w:t>
            </w:r>
            <w:proofErr w:type="spellEnd"/>
            <w:r w:rsidR="000B0EC2">
              <w:rPr>
                <w:rFonts w:ascii="Cambria" w:eastAsia="Cambria" w:hAnsi="Cambria" w:cs="Cambria"/>
              </w:rPr>
              <w:t>, које предају наставнику.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20058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585" w:rsidRDefault="000B46E4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20058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00585" w:rsidRDefault="0020058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200585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200585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585" w:rsidRDefault="000B46E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200585" w:rsidRDefault="00200585">
      <w:pPr>
        <w:pStyle w:val="Normal1"/>
      </w:pPr>
    </w:p>
    <w:p w:rsidR="00200585" w:rsidRDefault="00200585">
      <w:pPr>
        <w:pStyle w:val="Normal1"/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p w:rsidR="00200585" w:rsidRDefault="00200585">
      <w:pPr>
        <w:pStyle w:val="Normal1"/>
        <w:rPr>
          <w:rFonts w:ascii="Cambria" w:eastAsia="Cambria" w:hAnsi="Cambria" w:cs="Cambria"/>
        </w:rPr>
      </w:pPr>
    </w:p>
    <w:sectPr w:rsidR="00200585" w:rsidSect="0020058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0B36C3"/>
    <w:multiLevelType w:val="multilevel"/>
    <w:tmpl w:val="91D884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1301041"/>
    <w:multiLevelType w:val="hybridMultilevel"/>
    <w:tmpl w:val="97FC476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0585"/>
    <w:rsid w:val="000B0EC2"/>
    <w:rsid w:val="000B46E4"/>
    <w:rsid w:val="00200585"/>
    <w:rsid w:val="00410BB2"/>
    <w:rsid w:val="00546C5C"/>
    <w:rsid w:val="00CB7C4C"/>
    <w:rsid w:val="00F7783E"/>
    <w:rsid w:val="00FB42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FF7C27-3F0C-4BAE-9A95-82704ED9A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0BB2"/>
  </w:style>
  <w:style w:type="paragraph" w:styleId="Heading1">
    <w:name w:val="heading 1"/>
    <w:basedOn w:val="Normal1"/>
    <w:next w:val="Normal1"/>
    <w:rsid w:val="002005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005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005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005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0058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005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00585"/>
  </w:style>
  <w:style w:type="paragraph" w:styleId="Title">
    <w:name w:val="Title"/>
    <w:basedOn w:val="Normal1"/>
    <w:next w:val="Normal1"/>
    <w:rsid w:val="0020058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005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058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2005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58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0058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6C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22ED3C-616A-4A66-8B1E-75D48549B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2020-05-20T15:38:00Z</dcterms:created>
  <dcterms:modified xsi:type="dcterms:W3CDTF">2020-08-21T05:29:00Z</dcterms:modified>
</cp:coreProperties>
</file>